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B50B4" w14:textId="77777777" w:rsidR="004822B2" w:rsidRPr="007C60E9" w:rsidRDefault="004822B2" w:rsidP="004822B2">
      <w:pPr>
        <w:pStyle w:val="blocktext1"/>
        <w:keepLines w:val="0"/>
        <w:widowControl w:val="0"/>
        <w:suppressAutoHyphens/>
        <w:spacing w:line="240" w:lineRule="auto"/>
        <w:jc w:val="center"/>
        <w:rPr>
          <w:rFonts w:cs="Arial"/>
          <w:sz w:val="24"/>
          <w:szCs w:val="24"/>
        </w:rPr>
      </w:pPr>
      <w:r w:rsidRPr="007C60E9">
        <w:rPr>
          <w:rFonts w:cs="Arial"/>
          <w:sz w:val="24"/>
          <w:szCs w:val="24"/>
        </w:rPr>
        <w:t>This endorsement changes the policy. Please read it carefully.</w:t>
      </w:r>
    </w:p>
    <w:p w14:paraId="5A53C495" w14:textId="77777777" w:rsidR="004822B2" w:rsidRPr="007C60E9" w:rsidRDefault="004822B2" w:rsidP="004822B2">
      <w:pPr>
        <w:pStyle w:val="blocktext1"/>
        <w:keepLines w:val="0"/>
        <w:widowControl w:val="0"/>
        <w:suppressAutoHyphens/>
        <w:spacing w:line="240" w:lineRule="auto"/>
        <w:rPr>
          <w:rFonts w:cs="Arial"/>
        </w:rPr>
      </w:pPr>
    </w:p>
    <w:p w14:paraId="143ED5C3" w14:textId="5675158E" w:rsidR="0003544A" w:rsidRPr="007C60E9" w:rsidRDefault="00823E87" w:rsidP="0003544A">
      <w:pPr>
        <w:pStyle w:val="title18"/>
        <w:pBdr>
          <w:bottom w:val="single" w:sz="4" w:space="1" w:color="auto"/>
        </w:pBdr>
        <w:suppressAutoHyphens/>
        <w:spacing w:line="240" w:lineRule="auto"/>
        <w:rPr>
          <w:sz w:val="32"/>
          <w:szCs w:val="32"/>
        </w:rPr>
      </w:pPr>
      <w:r w:rsidRPr="007C60E9">
        <w:rPr>
          <w:sz w:val="32"/>
          <w:szCs w:val="32"/>
        </w:rPr>
        <w:t>Minnesota</w:t>
      </w:r>
      <w:r w:rsidR="0003544A" w:rsidRPr="007C60E9">
        <w:rPr>
          <w:sz w:val="32"/>
          <w:szCs w:val="32"/>
        </w:rPr>
        <w:t xml:space="preserve"> CHANGES</w:t>
      </w:r>
    </w:p>
    <w:p w14:paraId="143ED5C4" w14:textId="77777777" w:rsidR="00D10AE3" w:rsidRPr="007C60E9" w:rsidRDefault="0003544A" w:rsidP="0003544A">
      <w:pPr>
        <w:pStyle w:val="BodyText"/>
        <w:spacing w:before="80"/>
        <w:jc w:val="center"/>
        <w:rPr>
          <w:b/>
          <w:sz w:val="28"/>
          <w:szCs w:val="28"/>
        </w:rPr>
      </w:pPr>
      <w:r w:rsidRPr="007C60E9">
        <w:rPr>
          <w:b/>
          <w:sz w:val="28"/>
          <w:szCs w:val="28"/>
        </w:rPr>
        <w:t>Amendatory Endorsement</w:t>
      </w:r>
    </w:p>
    <w:p w14:paraId="143ED5C5" w14:textId="77777777" w:rsidR="00017B0D" w:rsidRPr="007C60E9" w:rsidRDefault="00017B0D" w:rsidP="007F70C5">
      <w:pPr>
        <w:pStyle w:val="blocktext1"/>
        <w:suppressAutoHyphens/>
        <w:rPr>
          <w:sz w:val="28"/>
          <w:szCs w:val="28"/>
        </w:rPr>
        <w:sectPr w:rsidR="00017B0D" w:rsidRPr="007C60E9" w:rsidSect="00B67B65">
          <w:headerReference w:type="even" r:id="rId12"/>
          <w:headerReference w:type="default" r:id="rId13"/>
          <w:footerReference w:type="even" r:id="rId14"/>
          <w:footerReference w:type="default" r:id="rId15"/>
          <w:footerReference w:type="first" r:id="rId16"/>
          <w:type w:val="continuous"/>
          <w:pgSz w:w="12240" w:h="15840"/>
          <w:pgMar w:top="1440" w:right="1080" w:bottom="1440" w:left="1080" w:header="720" w:footer="720" w:gutter="0"/>
          <w:cols w:space="480"/>
          <w:titlePg/>
          <w:docGrid w:linePitch="272"/>
        </w:sectPr>
      </w:pPr>
    </w:p>
    <w:p w14:paraId="143ED5C6" w14:textId="77777777" w:rsidR="0003544A" w:rsidRPr="007C60E9" w:rsidRDefault="0003544A" w:rsidP="00590958">
      <w:pPr>
        <w:pStyle w:val="blocktext1"/>
        <w:keepLines w:val="0"/>
        <w:widowControl w:val="0"/>
        <w:suppressAutoHyphens/>
        <w:spacing w:line="240" w:lineRule="auto"/>
        <w:rPr>
          <w:rFonts w:cs="Arial"/>
        </w:rPr>
      </w:pPr>
      <w:bookmarkStart w:id="0" w:name="EndDoc"/>
      <w:bookmarkEnd w:id="0"/>
    </w:p>
    <w:p w14:paraId="143ED5C9" w14:textId="77777777" w:rsidR="00594DC7" w:rsidRPr="007C60E9" w:rsidRDefault="00594DC7" w:rsidP="00B67B65">
      <w:pPr>
        <w:pStyle w:val="blocktext1"/>
        <w:keepLines w:val="0"/>
        <w:widowControl w:val="0"/>
        <w:suppressAutoHyphens/>
        <w:spacing w:line="240" w:lineRule="auto"/>
        <w:rPr>
          <w:rFonts w:cs="Arial"/>
          <w:sz w:val="24"/>
          <w:szCs w:val="24"/>
        </w:rPr>
      </w:pPr>
      <w:r w:rsidRPr="007C60E9">
        <w:rPr>
          <w:rFonts w:cs="Arial"/>
          <w:sz w:val="24"/>
          <w:szCs w:val="24"/>
        </w:rPr>
        <w:t xml:space="preserve">This endorsement modifies the insurance provided under the following: </w:t>
      </w:r>
    </w:p>
    <w:p w14:paraId="143ED5CA" w14:textId="77777777" w:rsidR="00594DC7" w:rsidRPr="007C60E9" w:rsidRDefault="00275019" w:rsidP="00B67B65">
      <w:pPr>
        <w:pStyle w:val="blocktext1"/>
        <w:keepLines w:val="0"/>
        <w:widowControl w:val="0"/>
        <w:suppressAutoHyphens/>
        <w:spacing w:line="240" w:lineRule="auto"/>
        <w:rPr>
          <w:rFonts w:cs="Arial"/>
          <w:sz w:val="24"/>
          <w:szCs w:val="24"/>
        </w:rPr>
      </w:pPr>
      <w:r w:rsidRPr="007C60E9">
        <w:rPr>
          <w:rFonts w:cs="Arial"/>
          <w:b/>
          <w:sz w:val="24"/>
          <w:szCs w:val="24"/>
        </w:rPr>
        <w:t xml:space="preserve">Cyber Suite </w:t>
      </w:r>
      <w:r w:rsidR="00BC413F" w:rsidRPr="007C60E9">
        <w:rPr>
          <w:rFonts w:cs="Arial"/>
          <w:b/>
          <w:sz w:val="24"/>
          <w:szCs w:val="24"/>
        </w:rPr>
        <w:t>Coverage</w:t>
      </w:r>
    </w:p>
    <w:p w14:paraId="143ED5CB" w14:textId="77777777" w:rsidR="00785F6C" w:rsidRPr="007C60E9" w:rsidRDefault="00785F6C" w:rsidP="00D043F8">
      <w:pPr>
        <w:pStyle w:val="blocktext1"/>
        <w:keepLines w:val="0"/>
        <w:widowControl w:val="0"/>
        <w:suppressAutoHyphens/>
        <w:spacing w:line="240" w:lineRule="auto"/>
        <w:rPr>
          <w:rFonts w:cs="Arial"/>
        </w:rPr>
      </w:pPr>
    </w:p>
    <w:p w14:paraId="143ED5CC" w14:textId="77777777" w:rsidR="00FF7E2C" w:rsidRPr="007C60E9" w:rsidRDefault="00FF7E2C">
      <w:pPr>
        <w:pStyle w:val="blocktext1"/>
        <w:keepLines w:val="0"/>
        <w:widowControl w:val="0"/>
        <w:suppressAutoHyphens/>
        <w:spacing w:line="240" w:lineRule="auto"/>
        <w:ind w:left="360" w:hanging="360"/>
        <w:sectPr w:rsidR="00FF7E2C" w:rsidRPr="007C60E9" w:rsidSect="00B67B65">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080" w:right="1080" w:bottom="1080" w:left="1080" w:header="720" w:footer="245" w:gutter="0"/>
          <w:cols w:space="480"/>
          <w:docGrid w:linePitch="272"/>
        </w:sectPr>
      </w:pPr>
    </w:p>
    <w:p w14:paraId="143ED5CD" w14:textId="77777777" w:rsidR="00762E7C" w:rsidRPr="007C60E9" w:rsidRDefault="005F6214" w:rsidP="00762E7C">
      <w:pPr>
        <w:pStyle w:val="blockhd1"/>
        <w:keepNext w:val="0"/>
        <w:keepLines w:val="0"/>
        <w:widowControl w:val="0"/>
        <w:tabs>
          <w:tab w:val="left" w:pos="450"/>
        </w:tabs>
        <w:spacing w:line="240" w:lineRule="auto"/>
        <w:ind w:left="360" w:hanging="360"/>
        <w:jc w:val="both"/>
        <w:rPr>
          <w:rFonts w:cs="Arial"/>
          <w:b w:val="0"/>
        </w:rPr>
      </w:pPr>
      <w:r w:rsidRPr="007C60E9">
        <w:rPr>
          <w:rFonts w:cs="Arial"/>
        </w:rPr>
        <w:t>1</w:t>
      </w:r>
      <w:r w:rsidR="00762E7C" w:rsidRPr="007C60E9">
        <w:rPr>
          <w:rFonts w:cs="Arial"/>
        </w:rPr>
        <w:t>.</w:t>
      </w:r>
      <w:r w:rsidR="00762E7C" w:rsidRPr="007C60E9">
        <w:rPr>
          <w:rFonts w:cs="Arial"/>
        </w:rPr>
        <w:tab/>
      </w:r>
      <w:r w:rsidR="00762E7C" w:rsidRPr="007C60E9">
        <w:t>C.</w:t>
      </w:r>
      <w:r w:rsidR="00762E7C" w:rsidRPr="007C60E9">
        <w:rPr>
          <w:rFonts w:cs="Arial"/>
        </w:rPr>
        <w:t xml:space="preserve"> LIMITS OF INSURANCE</w:t>
      </w:r>
      <w:r w:rsidR="00762E7C" w:rsidRPr="007C60E9">
        <w:rPr>
          <w:rFonts w:cs="Arial"/>
          <w:b w:val="0"/>
        </w:rPr>
        <w:t xml:space="preserve">, </w:t>
      </w:r>
      <w:r w:rsidR="00762E7C" w:rsidRPr="007C60E9">
        <w:rPr>
          <w:rFonts w:cs="Arial"/>
        </w:rPr>
        <w:t xml:space="preserve">1. Aggregate Limits </w:t>
      </w:r>
      <w:r w:rsidR="00762E7C" w:rsidRPr="007C60E9">
        <w:rPr>
          <w:rFonts w:cs="Arial"/>
          <w:b w:val="0"/>
        </w:rPr>
        <w:t>is deleted and replaced with the following:</w:t>
      </w:r>
    </w:p>
    <w:p w14:paraId="143ED5CE" w14:textId="77777777" w:rsidR="00AD1FFA" w:rsidRPr="007C60E9" w:rsidRDefault="00AD1FFA" w:rsidP="00AD1FFA">
      <w:pPr>
        <w:pStyle w:val="BodyText"/>
        <w:tabs>
          <w:tab w:val="left" w:pos="360"/>
        </w:tabs>
        <w:spacing w:before="80"/>
        <w:ind w:left="360"/>
        <w:rPr>
          <w:b/>
          <w:sz w:val="20"/>
        </w:rPr>
      </w:pPr>
      <w:r w:rsidRPr="007C60E9">
        <w:rPr>
          <w:b/>
          <w:sz w:val="20"/>
        </w:rPr>
        <w:t xml:space="preserve">1. </w:t>
      </w:r>
      <w:r w:rsidRPr="007C60E9">
        <w:rPr>
          <w:b/>
          <w:sz w:val="20"/>
        </w:rPr>
        <w:tab/>
        <w:t>Aggregate Limits</w:t>
      </w:r>
    </w:p>
    <w:p w14:paraId="143ED5D0" w14:textId="77777777" w:rsidR="00762E7C" w:rsidRPr="007C60E9" w:rsidRDefault="00762E7C" w:rsidP="00AD1FFA">
      <w:pPr>
        <w:pStyle w:val="BodyText"/>
        <w:spacing w:before="80"/>
        <w:ind w:left="720"/>
        <w:rPr>
          <w:sz w:val="20"/>
        </w:rPr>
      </w:pPr>
      <w:r w:rsidRPr="007C60E9">
        <w:rPr>
          <w:sz w:val="20"/>
        </w:rPr>
        <w:t xml:space="preserve">The First Party </w:t>
      </w:r>
      <w:r w:rsidR="00C74A8B" w:rsidRPr="007C60E9">
        <w:rPr>
          <w:sz w:val="20"/>
        </w:rPr>
        <w:t xml:space="preserve">Annual </w:t>
      </w:r>
      <w:r w:rsidRPr="007C60E9">
        <w:rPr>
          <w:sz w:val="20"/>
        </w:rPr>
        <w:t>Aggregate Limit shown in the Cyber Suite Supplemental Declarations is the most we will pay for all “loss” under all</w:t>
      </w:r>
      <w:r w:rsidRPr="007C60E9">
        <w:rPr>
          <w:w w:val="99"/>
          <w:sz w:val="20"/>
        </w:rPr>
        <w:t xml:space="preserve"> </w:t>
      </w:r>
      <w:r w:rsidRPr="007C60E9">
        <w:rPr>
          <w:sz w:val="20"/>
        </w:rPr>
        <w:t>applicable coverage sections, except Identity Recovery, in any one “policy period”.</w:t>
      </w:r>
      <w:r w:rsidRPr="007C60E9">
        <w:rPr>
          <w:w w:val="99"/>
          <w:sz w:val="20"/>
        </w:rPr>
        <w:t xml:space="preserve"> </w:t>
      </w:r>
      <w:r w:rsidRPr="007C60E9">
        <w:rPr>
          <w:sz w:val="20"/>
        </w:rPr>
        <w:t xml:space="preserve">The First Party </w:t>
      </w:r>
      <w:r w:rsidR="00C74A8B" w:rsidRPr="007C60E9">
        <w:rPr>
          <w:sz w:val="20"/>
        </w:rPr>
        <w:t xml:space="preserve">Annual </w:t>
      </w:r>
      <w:r w:rsidRPr="007C60E9">
        <w:rPr>
          <w:sz w:val="20"/>
        </w:rPr>
        <w:t>Aggregate Limit shown in the Cyber Suite Supplemental Declarations applies regardless of the number of insured</w:t>
      </w:r>
      <w:r w:rsidRPr="007C60E9">
        <w:rPr>
          <w:w w:val="99"/>
          <w:sz w:val="20"/>
        </w:rPr>
        <w:t xml:space="preserve"> </w:t>
      </w:r>
      <w:r w:rsidRPr="007C60E9">
        <w:rPr>
          <w:sz w:val="20"/>
        </w:rPr>
        <w:t>events first discovered during the “policy period”.</w:t>
      </w:r>
    </w:p>
    <w:p w14:paraId="143ED5D1" w14:textId="213E2DC3" w:rsidR="00762E7C" w:rsidRPr="007C60E9" w:rsidRDefault="00762E7C" w:rsidP="00AD1FFA">
      <w:pPr>
        <w:pStyle w:val="BodyText"/>
        <w:spacing w:before="80"/>
        <w:ind w:left="720"/>
        <w:rPr>
          <w:sz w:val="20"/>
        </w:rPr>
      </w:pPr>
      <w:r w:rsidRPr="007C60E9">
        <w:rPr>
          <w:sz w:val="20"/>
        </w:rPr>
        <w:t xml:space="preserve">The </w:t>
      </w:r>
      <w:r w:rsidR="00421777" w:rsidRPr="007C60E9">
        <w:rPr>
          <w:sz w:val="20"/>
        </w:rPr>
        <w:t>Third-Party</w:t>
      </w:r>
      <w:r w:rsidRPr="007C60E9">
        <w:rPr>
          <w:sz w:val="20"/>
        </w:rPr>
        <w:t xml:space="preserve"> Defense </w:t>
      </w:r>
      <w:r w:rsidR="00C74A8B" w:rsidRPr="007C60E9">
        <w:rPr>
          <w:sz w:val="20"/>
        </w:rPr>
        <w:t xml:space="preserve">Annual </w:t>
      </w:r>
      <w:r w:rsidRPr="007C60E9">
        <w:rPr>
          <w:sz w:val="20"/>
        </w:rPr>
        <w:t xml:space="preserve">Aggregate Limit shown in the Cyber Suite Supplemental Declarations is the most we will pay for “defense costs” under the applicable Liability coverage section in </w:t>
      </w:r>
      <w:proofErr w:type="gramStart"/>
      <w:r w:rsidRPr="007C60E9">
        <w:rPr>
          <w:sz w:val="20"/>
        </w:rPr>
        <w:t>any one</w:t>
      </w:r>
      <w:proofErr w:type="gramEnd"/>
      <w:r w:rsidRPr="007C60E9">
        <w:rPr>
          <w:sz w:val="20"/>
        </w:rPr>
        <w:t xml:space="preserve"> “policy period” or any Extended Reporting Period.  </w:t>
      </w:r>
    </w:p>
    <w:p w14:paraId="143ED5D2" w14:textId="4638082B" w:rsidR="00762E7C" w:rsidRPr="007C60E9" w:rsidRDefault="00762E7C" w:rsidP="00AD1FFA">
      <w:pPr>
        <w:pStyle w:val="BodyText"/>
        <w:spacing w:before="80"/>
        <w:ind w:left="720"/>
        <w:rPr>
          <w:w w:val="99"/>
          <w:sz w:val="20"/>
        </w:rPr>
      </w:pPr>
      <w:r w:rsidRPr="007C60E9">
        <w:rPr>
          <w:sz w:val="20"/>
        </w:rPr>
        <w:t>Except for</w:t>
      </w:r>
      <w:r w:rsidR="0082459C" w:rsidRPr="007C60E9">
        <w:rPr>
          <w:sz w:val="20"/>
        </w:rPr>
        <w:t xml:space="preserve"> pre- and</w:t>
      </w:r>
      <w:r w:rsidRPr="007C60E9">
        <w:rPr>
          <w:sz w:val="20"/>
        </w:rPr>
        <w:t xml:space="preserve"> post-judgment interest, the </w:t>
      </w:r>
      <w:r w:rsidR="00421777" w:rsidRPr="007C60E9">
        <w:rPr>
          <w:sz w:val="20"/>
        </w:rPr>
        <w:t>Third-Party</w:t>
      </w:r>
      <w:r w:rsidRPr="007C60E9">
        <w:rPr>
          <w:sz w:val="20"/>
        </w:rPr>
        <w:t xml:space="preserve"> Liability </w:t>
      </w:r>
      <w:r w:rsidR="00C74A8B" w:rsidRPr="007C60E9">
        <w:rPr>
          <w:sz w:val="20"/>
        </w:rPr>
        <w:t xml:space="preserve">Annual </w:t>
      </w:r>
      <w:r w:rsidRPr="007C60E9">
        <w:rPr>
          <w:sz w:val="20"/>
        </w:rPr>
        <w:t>Aggregate Limit shown in the Cyber Suite Supplemental Declarations is the most we will pay for all “settlement costs” under the</w:t>
      </w:r>
      <w:r w:rsidRPr="007C60E9">
        <w:rPr>
          <w:w w:val="99"/>
          <w:sz w:val="20"/>
        </w:rPr>
        <w:t xml:space="preserve"> </w:t>
      </w:r>
      <w:r w:rsidRPr="007C60E9">
        <w:rPr>
          <w:sz w:val="20"/>
        </w:rPr>
        <w:t xml:space="preserve">applicable Liability coverage section in </w:t>
      </w:r>
      <w:proofErr w:type="gramStart"/>
      <w:r w:rsidRPr="007C60E9">
        <w:rPr>
          <w:sz w:val="20"/>
        </w:rPr>
        <w:t>any one</w:t>
      </w:r>
      <w:proofErr w:type="gramEnd"/>
      <w:r w:rsidRPr="007C60E9">
        <w:rPr>
          <w:sz w:val="20"/>
        </w:rPr>
        <w:t xml:space="preserve"> “policy period” or any applicable Extended Reporting Period.</w:t>
      </w:r>
      <w:r w:rsidRPr="007C60E9">
        <w:rPr>
          <w:w w:val="99"/>
          <w:sz w:val="20"/>
        </w:rPr>
        <w:t xml:space="preserve"> </w:t>
      </w:r>
    </w:p>
    <w:p w14:paraId="143ED5D5" w14:textId="4479DAF0" w:rsidR="00E12F13" w:rsidRPr="007C60E9" w:rsidRDefault="00762E7C" w:rsidP="007C60E9">
      <w:pPr>
        <w:pStyle w:val="BodyText"/>
        <w:spacing w:before="80"/>
        <w:ind w:left="720"/>
        <w:rPr>
          <w:sz w:val="20"/>
        </w:rPr>
      </w:pPr>
      <w:r w:rsidRPr="007C60E9">
        <w:rPr>
          <w:sz w:val="20"/>
        </w:rPr>
        <w:t xml:space="preserve">The </w:t>
      </w:r>
      <w:r w:rsidR="00421777" w:rsidRPr="007C60E9">
        <w:rPr>
          <w:sz w:val="20"/>
        </w:rPr>
        <w:t>Third-Party</w:t>
      </w:r>
      <w:r w:rsidRPr="007C60E9">
        <w:rPr>
          <w:sz w:val="20"/>
        </w:rPr>
        <w:t xml:space="preserve"> Defense </w:t>
      </w:r>
      <w:r w:rsidR="00C74A8B" w:rsidRPr="007C60E9">
        <w:rPr>
          <w:sz w:val="20"/>
        </w:rPr>
        <w:t xml:space="preserve">Annual </w:t>
      </w:r>
      <w:r w:rsidRPr="007C60E9">
        <w:rPr>
          <w:sz w:val="20"/>
        </w:rPr>
        <w:t xml:space="preserve">Aggregate Limit and the Third Party Liability </w:t>
      </w:r>
      <w:r w:rsidR="00C74A8B" w:rsidRPr="007C60E9">
        <w:rPr>
          <w:sz w:val="20"/>
        </w:rPr>
        <w:t xml:space="preserve">Annual </w:t>
      </w:r>
      <w:r w:rsidRPr="007C60E9">
        <w:rPr>
          <w:sz w:val="20"/>
        </w:rPr>
        <w:t>Aggregate Limit shown in the Cyber Suite Supplemental Declarations apply regardless of the number of insured</w:t>
      </w:r>
      <w:r w:rsidRPr="007C60E9">
        <w:rPr>
          <w:w w:val="99"/>
          <w:sz w:val="20"/>
        </w:rPr>
        <w:t xml:space="preserve"> </w:t>
      </w:r>
      <w:r w:rsidRPr="007C60E9">
        <w:rPr>
          <w:sz w:val="20"/>
        </w:rPr>
        <w:t>“claims” or “regulatory proceedings” first received during the “policy period” or</w:t>
      </w:r>
      <w:r w:rsidRPr="007C60E9">
        <w:rPr>
          <w:w w:val="99"/>
          <w:sz w:val="20"/>
        </w:rPr>
        <w:t xml:space="preserve"> </w:t>
      </w:r>
      <w:r w:rsidRPr="007C60E9">
        <w:rPr>
          <w:sz w:val="20"/>
        </w:rPr>
        <w:t>any applicable Extended Reporting Period.</w:t>
      </w:r>
    </w:p>
    <w:p w14:paraId="143ED5D6" w14:textId="77777777" w:rsidR="00762E7C" w:rsidRPr="007C60E9" w:rsidRDefault="00762E7C" w:rsidP="00AD1FFA">
      <w:pPr>
        <w:pStyle w:val="BodyText"/>
        <w:spacing w:before="80"/>
        <w:ind w:left="720"/>
        <w:rPr>
          <w:sz w:val="20"/>
        </w:rPr>
      </w:pPr>
      <w:r w:rsidRPr="007C60E9">
        <w:rPr>
          <w:sz w:val="20"/>
        </w:rPr>
        <w:t>The Identity Recovery Coverage is subject to the Identity Recovery Limit as shown in the Cyber Suite Supplemental Declarations.</w:t>
      </w:r>
    </w:p>
    <w:p w14:paraId="143ED5E0" w14:textId="2C8948A8" w:rsidR="00762E7C" w:rsidRPr="007C60E9" w:rsidRDefault="005F6214" w:rsidP="00762E7C">
      <w:pPr>
        <w:pStyle w:val="blockhd1"/>
        <w:keepNext w:val="0"/>
        <w:keepLines w:val="0"/>
        <w:widowControl w:val="0"/>
        <w:tabs>
          <w:tab w:val="left" w:pos="360"/>
        </w:tabs>
        <w:spacing w:line="240" w:lineRule="auto"/>
        <w:ind w:left="360" w:hanging="360"/>
        <w:jc w:val="both"/>
        <w:rPr>
          <w:rFonts w:cs="Arial"/>
          <w:b w:val="0"/>
        </w:rPr>
      </w:pPr>
      <w:r w:rsidRPr="007C60E9">
        <w:rPr>
          <w:rFonts w:cs="Arial"/>
        </w:rPr>
        <w:t>2</w:t>
      </w:r>
      <w:r w:rsidR="00762E7C" w:rsidRPr="007C60E9">
        <w:rPr>
          <w:rFonts w:cs="Arial"/>
        </w:rPr>
        <w:t>.</w:t>
      </w:r>
      <w:r w:rsidR="00762E7C" w:rsidRPr="007C60E9">
        <w:rPr>
          <w:rFonts w:cs="Arial"/>
        </w:rPr>
        <w:tab/>
      </w:r>
      <w:r w:rsidR="00762E7C" w:rsidRPr="007C60E9">
        <w:t>C.</w:t>
      </w:r>
      <w:r w:rsidR="00762E7C" w:rsidRPr="007C60E9">
        <w:rPr>
          <w:rFonts w:cs="Arial"/>
        </w:rPr>
        <w:t xml:space="preserve"> LIMITS OF INSURANCE</w:t>
      </w:r>
      <w:r w:rsidR="00762E7C" w:rsidRPr="007C60E9">
        <w:rPr>
          <w:rFonts w:cs="Arial"/>
          <w:b w:val="0"/>
        </w:rPr>
        <w:t xml:space="preserve">, </w:t>
      </w:r>
      <w:r w:rsidR="00762E7C" w:rsidRPr="007C60E9">
        <w:rPr>
          <w:rFonts w:cs="Arial"/>
        </w:rPr>
        <w:t>2.a. Data Compromise Sublimits</w:t>
      </w:r>
      <w:r w:rsidR="00481F08" w:rsidRPr="007C60E9">
        <w:rPr>
          <w:rFonts w:cs="Arial"/>
        </w:rPr>
        <w:t>,</w:t>
      </w:r>
      <w:r w:rsidR="00762E7C" w:rsidRPr="007C60E9">
        <w:rPr>
          <w:rFonts w:cs="Arial"/>
          <w:b w:val="0"/>
        </w:rPr>
        <w:t xml:space="preserve"> </w:t>
      </w:r>
      <w:r w:rsidR="00762E7C" w:rsidRPr="007C60E9">
        <w:rPr>
          <w:rFonts w:cs="Arial"/>
        </w:rPr>
        <w:t>2.b. Computer Attack Sublimi</w:t>
      </w:r>
      <w:r w:rsidR="00840E58" w:rsidRPr="007C60E9">
        <w:rPr>
          <w:rFonts w:cs="Arial"/>
        </w:rPr>
        <w:t>t</w:t>
      </w:r>
      <w:r w:rsidR="00481F08" w:rsidRPr="007C60E9">
        <w:rPr>
          <w:rFonts w:cs="Arial"/>
        </w:rPr>
        <w:t>,</w:t>
      </w:r>
      <w:r w:rsidR="00762E7C" w:rsidRPr="007C60E9">
        <w:rPr>
          <w:rFonts w:cs="Arial"/>
        </w:rPr>
        <w:t xml:space="preserve"> 2.c. Cyber Extortion Sublimit</w:t>
      </w:r>
      <w:r w:rsidR="00481F08" w:rsidRPr="007C60E9">
        <w:rPr>
          <w:rFonts w:cs="Arial"/>
        </w:rPr>
        <w:t xml:space="preserve">, 2.d. Misdirected Payment Fraud Sublimit, </w:t>
      </w:r>
      <w:r w:rsidR="00481F08" w:rsidRPr="007C60E9">
        <w:rPr>
          <w:rFonts w:eastAsia="Arial" w:cs="Arial"/>
        </w:rPr>
        <w:t>2.e. Computer Fraud Sublimit</w:t>
      </w:r>
      <w:bookmarkStart w:id="1" w:name="_Hlk48304276"/>
      <w:bookmarkStart w:id="2" w:name="_Hlk48303712"/>
      <w:r w:rsidR="004702F0" w:rsidRPr="007C60E9">
        <w:rPr>
          <w:rFonts w:cs="Arial"/>
        </w:rPr>
        <w:t>, 2</w:t>
      </w:r>
      <w:r w:rsidR="004702F0" w:rsidRPr="007C60E9">
        <w:rPr>
          <w:rFonts w:eastAsia="Arial" w:cs="Arial"/>
          <w:bCs/>
        </w:rPr>
        <w:t>.f. Telecommunications Fraud Sublimit</w:t>
      </w:r>
      <w:r w:rsidR="004702F0" w:rsidRPr="007C60E9">
        <w:rPr>
          <w:rFonts w:cs="Arial"/>
        </w:rPr>
        <w:t xml:space="preserve"> </w:t>
      </w:r>
      <w:r w:rsidR="004702F0" w:rsidRPr="007C60E9">
        <w:rPr>
          <w:rFonts w:cs="Arial"/>
          <w:b w:val="0"/>
          <w:bCs/>
        </w:rPr>
        <w:t>and</w:t>
      </w:r>
      <w:r w:rsidR="004702F0" w:rsidRPr="007C60E9">
        <w:rPr>
          <w:rFonts w:cs="Arial"/>
        </w:rPr>
        <w:t xml:space="preserve"> 2.g. Reward Payments Sublimit</w:t>
      </w:r>
      <w:bookmarkEnd w:id="1"/>
      <w:r w:rsidR="004702F0" w:rsidRPr="007C60E9">
        <w:rPr>
          <w:rFonts w:cs="Arial"/>
        </w:rPr>
        <w:t xml:space="preserve"> </w:t>
      </w:r>
      <w:bookmarkEnd w:id="2"/>
      <w:r w:rsidR="00762E7C" w:rsidRPr="007C60E9">
        <w:rPr>
          <w:rFonts w:cs="Arial"/>
          <w:b w:val="0"/>
        </w:rPr>
        <w:t>are deleted and replaced with the following:</w:t>
      </w:r>
    </w:p>
    <w:p w14:paraId="143ED5E1" w14:textId="77777777" w:rsidR="00762E7C" w:rsidRPr="007C60E9" w:rsidRDefault="00762E7C" w:rsidP="00762E7C">
      <w:pPr>
        <w:spacing w:before="80"/>
        <w:ind w:left="720" w:hanging="360"/>
        <w:rPr>
          <w:rFonts w:eastAsia="Arial" w:cs="Arial"/>
        </w:rPr>
      </w:pPr>
      <w:r w:rsidRPr="007C60E9">
        <w:rPr>
          <w:b/>
        </w:rPr>
        <w:t>a.</w:t>
      </w:r>
      <w:r w:rsidRPr="007C60E9">
        <w:rPr>
          <w:b/>
        </w:rPr>
        <w:tab/>
        <w:t xml:space="preserve">Data Compromise Sublimits  </w:t>
      </w:r>
      <w:r w:rsidRPr="007C60E9">
        <w:rPr>
          <w:b/>
        </w:rPr>
        <w:tab/>
      </w:r>
    </w:p>
    <w:p w14:paraId="143ED5E2" w14:textId="77777777" w:rsidR="00762E7C" w:rsidRPr="007C60E9" w:rsidRDefault="00762E7C" w:rsidP="00762E7C">
      <w:pPr>
        <w:pStyle w:val="BodyText"/>
        <w:spacing w:before="80"/>
        <w:ind w:left="720"/>
        <w:rPr>
          <w:sz w:val="20"/>
        </w:rPr>
      </w:pPr>
      <w:r w:rsidRPr="007C60E9">
        <w:rPr>
          <w:sz w:val="20"/>
        </w:rPr>
        <w:t xml:space="preserve">The most we will pay under Data Compromise Response Expenses for Public Relations and </w:t>
      </w:r>
      <w:r w:rsidR="006F6983" w:rsidRPr="007C60E9">
        <w:rPr>
          <w:sz w:val="20"/>
        </w:rPr>
        <w:t>Reputational Harm</w:t>
      </w:r>
      <w:r w:rsidRPr="007C60E9">
        <w:rPr>
          <w:sz w:val="20"/>
        </w:rPr>
        <w:t xml:space="preserve"> coverages for “loss” arising from any one “personal data compromise” is the applicable</w:t>
      </w:r>
      <w:r w:rsidRPr="007C60E9">
        <w:rPr>
          <w:w w:val="99"/>
          <w:sz w:val="20"/>
        </w:rPr>
        <w:t xml:space="preserve"> </w:t>
      </w:r>
      <w:r w:rsidRPr="007C60E9">
        <w:rPr>
          <w:sz w:val="20"/>
        </w:rPr>
        <w:t xml:space="preserve">sublimit for each of those coverages shown in the Cyber Suite Supplemental Declarations. </w:t>
      </w:r>
    </w:p>
    <w:p w14:paraId="143ED5E3" w14:textId="77777777" w:rsidR="00762E7C" w:rsidRPr="007C60E9" w:rsidRDefault="00762E7C" w:rsidP="00762E7C">
      <w:pPr>
        <w:pStyle w:val="BodyText"/>
        <w:spacing w:before="80"/>
        <w:ind w:left="720"/>
        <w:rPr>
          <w:sz w:val="20"/>
        </w:rPr>
      </w:pPr>
      <w:r w:rsidRPr="007C60E9">
        <w:rPr>
          <w:sz w:val="20"/>
        </w:rPr>
        <w:t>These sublimits are part of, and not</w:t>
      </w:r>
      <w:r w:rsidRPr="007C60E9">
        <w:rPr>
          <w:w w:val="99"/>
          <w:sz w:val="20"/>
        </w:rPr>
        <w:t xml:space="preserve"> </w:t>
      </w:r>
      <w:r w:rsidRPr="007C60E9">
        <w:rPr>
          <w:sz w:val="20"/>
        </w:rPr>
        <w:t xml:space="preserve">in addition to, the First Party </w:t>
      </w:r>
      <w:r w:rsidR="005F6214" w:rsidRPr="007C60E9">
        <w:rPr>
          <w:sz w:val="20"/>
        </w:rPr>
        <w:t xml:space="preserve">Annual </w:t>
      </w:r>
      <w:r w:rsidRPr="007C60E9">
        <w:rPr>
          <w:sz w:val="20"/>
        </w:rPr>
        <w:t>Aggregate Limit</w:t>
      </w:r>
      <w:r w:rsidR="005F6214" w:rsidRPr="007C60E9">
        <w:rPr>
          <w:b/>
          <w:sz w:val="20"/>
        </w:rPr>
        <w:t xml:space="preserve"> </w:t>
      </w:r>
      <w:r w:rsidRPr="007C60E9">
        <w:rPr>
          <w:sz w:val="20"/>
        </w:rPr>
        <w:t>shown in the Cyber Suite Supplemental Declarations. Public Relations</w:t>
      </w:r>
      <w:r w:rsidRPr="007C60E9">
        <w:rPr>
          <w:w w:val="99"/>
          <w:sz w:val="20"/>
        </w:rPr>
        <w:t xml:space="preserve"> </w:t>
      </w:r>
      <w:r w:rsidRPr="007C60E9">
        <w:rPr>
          <w:sz w:val="20"/>
        </w:rPr>
        <w:t xml:space="preserve">coverage is also subject to a limit per “affected individual” as described in </w:t>
      </w:r>
      <w:r w:rsidRPr="007C60E9">
        <w:rPr>
          <w:b/>
          <w:sz w:val="20"/>
        </w:rPr>
        <w:t>A.1.b.(5)</w:t>
      </w:r>
      <w:r w:rsidRPr="007C60E9">
        <w:rPr>
          <w:sz w:val="20"/>
        </w:rPr>
        <w:t>.</w:t>
      </w:r>
    </w:p>
    <w:p w14:paraId="143ED5E4" w14:textId="731F5F56" w:rsidR="00762E7C" w:rsidRPr="007C60E9" w:rsidRDefault="00762E7C" w:rsidP="00BD1283">
      <w:pPr>
        <w:pStyle w:val="BodyText"/>
        <w:spacing w:before="80"/>
        <w:ind w:firstLine="360"/>
        <w:rPr>
          <w:bCs/>
          <w:sz w:val="20"/>
        </w:rPr>
      </w:pPr>
      <w:r w:rsidRPr="007C60E9">
        <w:rPr>
          <w:b/>
          <w:sz w:val="20"/>
        </w:rPr>
        <w:t>b.</w:t>
      </w:r>
      <w:r w:rsidRPr="007C60E9">
        <w:rPr>
          <w:sz w:val="20"/>
        </w:rPr>
        <w:tab/>
      </w:r>
      <w:r w:rsidRPr="007C60E9">
        <w:rPr>
          <w:b/>
          <w:sz w:val="20"/>
        </w:rPr>
        <w:t>Computer Attack Sublimit</w:t>
      </w:r>
      <w:r w:rsidRPr="007C60E9">
        <w:rPr>
          <w:sz w:val="20"/>
        </w:rPr>
        <w:t xml:space="preserve"> </w:t>
      </w:r>
    </w:p>
    <w:p w14:paraId="143ED5E5" w14:textId="2012877B" w:rsidR="00762E7C" w:rsidRPr="007C60E9" w:rsidRDefault="00943620" w:rsidP="00762E7C">
      <w:pPr>
        <w:pStyle w:val="BodyText"/>
        <w:spacing w:before="80"/>
        <w:ind w:left="720"/>
        <w:rPr>
          <w:sz w:val="20"/>
        </w:rPr>
      </w:pPr>
      <w:r w:rsidRPr="007C60E9">
        <w:rPr>
          <w:sz w:val="20"/>
        </w:rPr>
        <w:t>The most we will pay under Computer Attack for Public Relations coverage for “loss” arising from any one “computer attack” is the applicable Public Relations sublimit shown in the Cyber Suite Supplemental Declarations. Th</w:t>
      </w:r>
      <w:r w:rsidR="0088556A" w:rsidRPr="007C60E9">
        <w:rPr>
          <w:sz w:val="20"/>
        </w:rPr>
        <w:t>is</w:t>
      </w:r>
      <w:r w:rsidR="00762E7C" w:rsidRPr="007C60E9">
        <w:rPr>
          <w:sz w:val="20"/>
        </w:rPr>
        <w:t xml:space="preserve"> sublimit </w:t>
      </w:r>
      <w:r w:rsidR="0088556A" w:rsidRPr="007C60E9">
        <w:rPr>
          <w:sz w:val="20"/>
        </w:rPr>
        <w:t>is</w:t>
      </w:r>
      <w:r w:rsidR="00762E7C" w:rsidRPr="007C60E9">
        <w:rPr>
          <w:sz w:val="20"/>
        </w:rPr>
        <w:t xml:space="preserve"> part of, and not</w:t>
      </w:r>
      <w:r w:rsidR="00762E7C" w:rsidRPr="007C60E9">
        <w:rPr>
          <w:w w:val="99"/>
          <w:sz w:val="20"/>
        </w:rPr>
        <w:t xml:space="preserve"> </w:t>
      </w:r>
      <w:r w:rsidR="00762E7C" w:rsidRPr="007C60E9">
        <w:rPr>
          <w:sz w:val="20"/>
        </w:rPr>
        <w:t xml:space="preserve">in addition to, the </w:t>
      </w:r>
      <w:r w:rsidRPr="007C60E9">
        <w:rPr>
          <w:sz w:val="20"/>
        </w:rPr>
        <w:t xml:space="preserve">First Party Annual Aggregate Limit </w:t>
      </w:r>
      <w:r w:rsidR="00762E7C" w:rsidRPr="007C60E9">
        <w:rPr>
          <w:sz w:val="20"/>
        </w:rPr>
        <w:t>shown in the Cyber Suite Supplemental Declarations.</w:t>
      </w:r>
    </w:p>
    <w:p w14:paraId="143ED5E6" w14:textId="77777777" w:rsidR="00762E7C" w:rsidRPr="007C60E9" w:rsidRDefault="00762E7C" w:rsidP="00762E7C">
      <w:pPr>
        <w:pStyle w:val="Heading1"/>
        <w:spacing w:before="80"/>
        <w:ind w:left="720" w:hanging="360"/>
        <w:rPr>
          <w:rFonts w:ascii="Arial" w:hAnsi="Arial" w:cs="Arial"/>
          <w:b w:val="0"/>
          <w:bCs/>
          <w:sz w:val="20"/>
          <w:u w:val="none"/>
        </w:rPr>
      </w:pPr>
      <w:r w:rsidRPr="007C60E9">
        <w:rPr>
          <w:rFonts w:ascii="Arial" w:hAnsi="Arial" w:cs="Arial"/>
          <w:sz w:val="20"/>
          <w:u w:val="none"/>
        </w:rPr>
        <w:t>c.</w:t>
      </w:r>
      <w:r w:rsidRPr="007C60E9">
        <w:rPr>
          <w:rFonts w:ascii="Arial" w:hAnsi="Arial" w:cs="Arial"/>
          <w:sz w:val="20"/>
          <w:u w:val="none"/>
        </w:rPr>
        <w:tab/>
        <w:t xml:space="preserve">Cyber Extortion Sublimit </w:t>
      </w:r>
    </w:p>
    <w:p w14:paraId="143ED5E7" w14:textId="77777777" w:rsidR="003F1134" w:rsidRPr="007C60E9" w:rsidRDefault="00762E7C" w:rsidP="003F1134">
      <w:pPr>
        <w:pStyle w:val="BodyText"/>
        <w:spacing w:before="80"/>
        <w:ind w:left="720"/>
        <w:rPr>
          <w:sz w:val="20"/>
        </w:rPr>
      </w:pPr>
      <w:r w:rsidRPr="007C60E9">
        <w:rPr>
          <w:sz w:val="20"/>
        </w:rPr>
        <w:t>The most we will pay under Cyber Extortion coverage for “loss” arising from any one “cyber extortion threat” is the applicable</w:t>
      </w:r>
      <w:r w:rsidRPr="007C60E9">
        <w:rPr>
          <w:w w:val="99"/>
          <w:sz w:val="20"/>
        </w:rPr>
        <w:t xml:space="preserve"> </w:t>
      </w:r>
      <w:r w:rsidRPr="007C60E9">
        <w:rPr>
          <w:sz w:val="20"/>
        </w:rPr>
        <w:t xml:space="preserve">sublimit shown in the Cyber Suite Supplemental Declarations. This sublimit is part of, and </w:t>
      </w:r>
      <w:r w:rsidRPr="007C60E9">
        <w:rPr>
          <w:sz w:val="20"/>
        </w:rPr>
        <w:lastRenderedPageBreak/>
        <w:t>not</w:t>
      </w:r>
      <w:r w:rsidRPr="007C60E9">
        <w:rPr>
          <w:w w:val="99"/>
          <w:sz w:val="20"/>
        </w:rPr>
        <w:t xml:space="preserve"> </w:t>
      </w:r>
      <w:r w:rsidRPr="007C60E9">
        <w:rPr>
          <w:sz w:val="20"/>
        </w:rPr>
        <w:t xml:space="preserve">in addition to, the First Party </w:t>
      </w:r>
      <w:r w:rsidR="00943620" w:rsidRPr="007C60E9">
        <w:rPr>
          <w:sz w:val="20"/>
        </w:rPr>
        <w:t xml:space="preserve">Annual </w:t>
      </w:r>
      <w:r w:rsidRPr="007C60E9">
        <w:rPr>
          <w:sz w:val="20"/>
        </w:rPr>
        <w:t>Aggregate Limit</w:t>
      </w:r>
      <w:r w:rsidR="00943620" w:rsidRPr="007C60E9">
        <w:rPr>
          <w:b/>
          <w:sz w:val="20"/>
        </w:rPr>
        <w:t xml:space="preserve"> </w:t>
      </w:r>
      <w:r w:rsidRPr="007C60E9">
        <w:rPr>
          <w:sz w:val="20"/>
        </w:rPr>
        <w:t>shown in the Cyber Suite Supplemental Declarations.</w:t>
      </w:r>
    </w:p>
    <w:p w14:paraId="143ED5E8" w14:textId="77777777" w:rsidR="00481F08" w:rsidRPr="007C60E9" w:rsidRDefault="00481F08" w:rsidP="00481F08">
      <w:pPr>
        <w:pStyle w:val="BodyText"/>
        <w:spacing w:before="80" w:line="220" w:lineRule="exact"/>
        <w:ind w:left="720" w:hanging="360"/>
        <w:rPr>
          <w:b/>
          <w:sz w:val="20"/>
        </w:rPr>
      </w:pPr>
      <w:r w:rsidRPr="007C60E9">
        <w:rPr>
          <w:b/>
        </w:rPr>
        <w:t>d.</w:t>
      </w:r>
      <w:r w:rsidRPr="007C60E9">
        <w:rPr>
          <w:b/>
        </w:rPr>
        <w:tab/>
      </w:r>
      <w:r w:rsidRPr="007C60E9">
        <w:rPr>
          <w:b/>
          <w:sz w:val="20"/>
        </w:rPr>
        <w:t xml:space="preserve">Misdirected Payment Fraud Sublimit </w:t>
      </w:r>
    </w:p>
    <w:p w14:paraId="143ED5E9" w14:textId="77777777" w:rsidR="00481F08" w:rsidRPr="007C60E9" w:rsidRDefault="00481F08" w:rsidP="00481F08">
      <w:pPr>
        <w:pStyle w:val="BodyText"/>
        <w:spacing w:before="80" w:line="220" w:lineRule="exact"/>
        <w:ind w:left="720"/>
        <w:rPr>
          <w:b/>
          <w:i/>
          <w:sz w:val="20"/>
        </w:rPr>
      </w:pPr>
      <w:r w:rsidRPr="007C60E9">
        <w:rPr>
          <w:sz w:val="20"/>
        </w:rPr>
        <w:t xml:space="preserve">The most we will pay under Misdirected Payment Fraud coverage for “loss” arising from one “wrongful transfer event” is the applicable sublimit shown in the Cyber Suite Supplemental Declarations.  This sublimit is part of, and not in addition to, the First Party </w:t>
      </w:r>
      <w:r w:rsidR="00943620" w:rsidRPr="007C60E9">
        <w:rPr>
          <w:sz w:val="20"/>
        </w:rPr>
        <w:t xml:space="preserve">Annual </w:t>
      </w:r>
      <w:r w:rsidRPr="007C60E9">
        <w:rPr>
          <w:sz w:val="20"/>
        </w:rPr>
        <w:t>Aggregate Limit</w:t>
      </w:r>
      <w:r w:rsidRPr="007C60E9">
        <w:rPr>
          <w:b/>
          <w:sz w:val="20"/>
        </w:rPr>
        <w:t xml:space="preserve"> </w:t>
      </w:r>
      <w:r w:rsidRPr="007C60E9">
        <w:rPr>
          <w:sz w:val="20"/>
        </w:rPr>
        <w:t>shown in the Cyber Suite Supplemental Declarations.</w:t>
      </w:r>
    </w:p>
    <w:p w14:paraId="143ED5EA" w14:textId="77777777" w:rsidR="00481F08" w:rsidRPr="007C60E9" w:rsidRDefault="00481F08" w:rsidP="00481F08">
      <w:pPr>
        <w:pStyle w:val="BodyText"/>
        <w:spacing w:before="80" w:line="220" w:lineRule="exact"/>
        <w:ind w:left="720" w:hanging="360"/>
        <w:rPr>
          <w:b/>
          <w:sz w:val="20"/>
        </w:rPr>
      </w:pPr>
      <w:r w:rsidRPr="007C60E9">
        <w:rPr>
          <w:b/>
          <w:sz w:val="20"/>
        </w:rPr>
        <w:t>e.</w:t>
      </w:r>
      <w:r w:rsidRPr="007C60E9">
        <w:rPr>
          <w:b/>
          <w:sz w:val="20"/>
        </w:rPr>
        <w:tab/>
        <w:t xml:space="preserve">Computer Fraud Sublimit </w:t>
      </w:r>
    </w:p>
    <w:p w14:paraId="143ED5EB" w14:textId="77777777" w:rsidR="00481F08" w:rsidRPr="007C60E9" w:rsidRDefault="00481F08" w:rsidP="00481F08">
      <w:pPr>
        <w:pStyle w:val="BodyText"/>
        <w:spacing w:before="80" w:line="220" w:lineRule="exact"/>
        <w:ind w:left="720"/>
        <w:rPr>
          <w:sz w:val="20"/>
        </w:rPr>
      </w:pPr>
      <w:r w:rsidRPr="007C60E9">
        <w:rPr>
          <w:sz w:val="20"/>
        </w:rPr>
        <w:t xml:space="preserve">The most we will pay under Computer Fraud coverage for “loss” arising from one “computer fraud event” is the applicable sublimit shown in the Cyber Suite Supplemental Declarations.  This sublimit is part of, and not in addition to, the First Party </w:t>
      </w:r>
      <w:r w:rsidR="00943620" w:rsidRPr="007C60E9">
        <w:rPr>
          <w:sz w:val="20"/>
        </w:rPr>
        <w:t xml:space="preserve">Annual </w:t>
      </w:r>
      <w:r w:rsidRPr="007C60E9">
        <w:rPr>
          <w:sz w:val="20"/>
        </w:rPr>
        <w:t>Aggregate Limit</w:t>
      </w:r>
      <w:r w:rsidRPr="007C60E9">
        <w:rPr>
          <w:b/>
          <w:sz w:val="20"/>
        </w:rPr>
        <w:t xml:space="preserve"> </w:t>
      </w:r>
      <w:r w:rsidRPr="007C60E9">
        <w:rPr>
          <w:sz w:val="20"/>
        </w:rPr>
        <w:t>shown in the Cyber Suite Supplemental Declarations.</w:t>
      </w:r>
    </w:p>
    <w:p w14:paraId="143ED5EC" w14:textId="77777777" w:rsidR="004702F0" w:rsidRPr="007C60E9" w:rsidRDefault="004702F0" w:rsidP="004702F0">
      <w:pPr>
        <w:pStyle w:val="Heading1"/>
        <w:spacing w:before="80" w:line="220" w:lineRule="exact"/>
        <w:ind w:firstLine="360"/>
        <w:rPr>
          <w:rFonts w:ascii="Arial" w:hAnsi="Arial" w:cs="Arial"/>
          <w:sz w:val="20"/>
          <w:u w:val="none"/>
        </w:rPr>
      </w:pPr>
      <w:bookmarkStart w:id="3" w:name="_Hlk48303935"/>
      <w:r w:rsidRPr="007C60E9">
        <w:rPr>
          <w:rFonts w:ascii="Arial" w:hAnsi="Arial" w:cs="Arial"/>
          <w:sz w:val="20"/>
          <w:u w:val="none"/>
        </w:rPr>
        <w:t>f.</w:t>
      </w:r>
      <w:r w:rsidRPr="007C60E9">
        <w:rPr>
          <w:rFonts w:ascii="Arial" w:hAnsi="Arial" w:cs="Arial"/>
          <w:sz w:val="20"/>
          <w:u w:val="none"/>
        </w:rPr>
        <w:tab/>
        <w:t>Telecommunications Fraud Sublimit</w:t>
      </w:r>
    </w:p>
    <w:p w14:paraId="143ED5ED" w14:textId="77777777" w:rsidR="004702F0" w:rsidRPr="007C60E9" w:rsidRDefault="004702F0" w:rsidP="004702F0">
      <w:pPr>
        <w:pStyle w:val="BodyText"/>
        <w:spacing w:before="80" w:line="220" w:lineRule="exact"/>
        <w:ind w:left="720"/>
        <w:rPr>
          <w:b/>
          <w:sz w:val="20"/>
        </w:rPr>
      </w:pPr>
      <w:r w:rsidRPr="007C60E9">
        <w:rPr>
          <w:sz w:val="20"/>
        </w:rPr>
        <w:t>The most we will pay under Telecommunications Fraud coverage for “loss” arising from one “computer attack” on a “telecommunications system” is the applicable limit shown in the Cyber Suite Supplemental Declarations.</w:t>
      </w:r>
      <w:r w:rsidRPr="007C60E9">
        <w:rPr>
          <w:b/>
          <w:sz w:val="20"/>
        </w:rPr>
        <w:t xml:space="preserve"> </w:t>
      </w:r>
      <w:r w:rsidRPr="007C60E9">
        <w:rPr>
          <w:sz w:val="20"/>
        </w:rPr>
        <w:t>This sublimit is part of, and not in addition to, the First Party Annual Aggregate Limit shown in the Cyber Suite Supplemental Declarations.</w:t>
      </w:r>
    </w:p>
    <w:p w14:paraId="143ED5EE" w14:textId="77777777" w:rsidR="004702F0" w:rsidRPr="007C60E9" w:rsidRDefault="004702F0" w:rsidP="004702F0">
      <w:pPr>
        <w:pStyle w:val="Heading1"/>
        <w:spacing w:before="80" w:line="220" w:lineRule="exact"/>
        <w:ind w:firstLine="360"/>
        <w:rPr>
          <w:rFonts w:ascii="Arial" w:hAnsi="Arial" w:cs="Arial"/>
          <w:sz w:val="20"/>
          <w:u w:val="none"/>
        </w:rPr>
      </w:pPr>
      <w:bookmarkStart w:id="4" w:name="_Hlk48304464"/>
      <w:r w:rsidRPr="007C60E9">
        <w:rPr>
          <w:rFonts w:ascii="Arial" w:hAnsi="Arial" w:cs="Arial"/>
          <w:sz w:val="20"/>
          <w:u w:val="none"/>
        </w:rPr>
        <w:t>g.</w:t>
      </w:r>
      <w:r w:rsidRPr="007C60E9">
        <w:rPr>
          <w:rFonts w:ascii="Arial" w:hAnsi="Arial" w:cs="Arial"/>
          <w:sz w:val="20"/>
          <w:u w:val="none"/>
        </w:rPr>
        <w:tab/>
        <w:t>Reward Payments Sublimit</w:t>
      </w:r>
    </w:p>
    <w:p w14:paraId="143ED5EF" w14:textId="77777777" w:rsidR="004702F0" w:rsidRPr="007C60E9" w:rsidRDefault="004702F0" w:rsidP="004702F0">
      <w:pPr>
        <w:pStyle w:val="BodyText"/>
        <w:spacing w:before="80" w:line="220" w:lineRule="exact"/>
        <w:ind w:left="720"/>
        <w:rPr>
          <w:sz w:val="20"/>
        </w:rPr>
      </w:pPr>
      <w:r w:rsidRPr="007C60E9">
        <w:rPr>
          <w:sz w:val="20"/>
        </w:rPr>
        <w:t xml:space="preserve">The Reward Payment Sublimit shown in the Cyber Suite Supplemental Declarations is the most we will pay for all “reward payments” resulting from a “personal data compromise”, “computer attack”, “cyber extortion threat”, “wrongful transfer event”, or “computer fraud event” in any one “policy period”. </w:t>
      </w:r>
    </w:p>
    <w:p w14:paraId="143ED5F0" w14:textId="77777777" w:rsidR="004702F0" w:rsidRPr="007C60E9" w:rsidRDefault="004702F0" w:rsidP="004702F0">
      <w:pPr>
        <w:pStyle w:val="BodyText"/>
        <w:spacing w:before="80" w:line="220" w:lineRule="exact"/>
        <w:ind w:left="720"/>
        <w:rPr>
          <w:b/>
          <w:sz w:val="20"/>
        </w:rPr>
      </w:pPr>
      <w:r w:rsidRPr="007C60E9">
        <w:rPr>
          <w:sz w:val="20"/>
        </w:rPr>
        <w:t>This sublimit is part of, and not in addition to, the First Party Annual Aggregate Limit shown in the Cyber Suite Supplemental Declarations.</w:t>
      </w:r>
    </w:p>
    <w:bookmarkEnd w:id="3"/>
    <w:bookmarkEnd w:id="4"/>
    <w:p w14:paraId="143ED5F2" w14:textId="77777777" w:rsidR="006C3B0F" w:rsidRPr="007C60E9" w:rsidRDefault="00943620" w:rsidP="006C3B0F">
      <w:pPr>
        <w:pStyle w:val="blockhd1"/>
        <w:keepNext w:val="0"/>
        <w:keepLines w:val="0"/>
        <w:widowControl w:val="0"/>
        <w:tabs>
          <w:tab w:val="left" w:pos="360"/>
        </w:tabs>
        <w:spacing w:line="240" w:lineRule="auto"/>
        <w:ind w:left="360" w:hanging="360"/>
        <w:jc w:val="both"/>
        <w:rPr>
          <w:rFonts w:cs="Arial"/>
          <w:b w:val="0"/>
        </w:rPr>
      </w:pPr>
      <w:r w:rsidRPr="007C60E9">
        <w:rPr>
          <w:rFonts w:cs="Arial"/>
        </w:rPr>
        <w:t>3</w:t>
      </w:r>
      <w:r w:rsidR="00F903FA" w:rsidRPr="007C60E9">
        <w:rPr>
          <w:rFonts w:cs="Arial"/>
        </w:rPr>
        <w:t>.</w:t>
      </w:r>
      <w:r w:rsidR="00F903FA" w:rsidRPr="007C60E9">
        <w:rPr>
          <w:rFonts w:cs="Arial"/>
        </w:rPr>
        <w:tab/>
      </w:r>
      <w:r w:rsidR="002C60FA" w:rsidRPr="007C60E9">
        <w:rPr>
          <w:rFonts w:cs="Arial"/>
        </w:rPr>
        <w:t>E</w:t>
      </w:r>
      <w:r w:rsidR="006C3B0F" w:rsidRPr="007C60E9">
        <w:rPr>
          <w:rFonts w:cs="Arial"/>
        </w:rPr>
        <w:t>.  ADDITIONAL CONDITIONS</w:t>
      </w:r>
      <w:r w:rsidR="006C3B0F" w:rsidRPr="007C60E9">
        <w:rPr>
          <w:rFonts w:cs="Arial"/>
          <w:b w:val="0"/>
        </w:rPr>
        <w:t xml:space="preserve">, </w:t>
      </w:r>
      <w:r w:rsidR="004702F0" w:rsidRPr="007C60E9">
        <w:rPr>
          <w:rFonts w:cs="Arial"/>
        </w:rPr>
        <w:t>2</w:t>
      </w:r>
      <w:r w:rsidR="006C3B0F" w:rsidRPr="007C60E9">
        <w:rPr>
          <w:rFonts w:cs="Arial"/>
        </w:rPr>
        <w:t>. Bankruptcy</w:t>
      </w:r>
      <w:r w:rsidR="006C3B0F" w:rsidRPr="007C60E9">
        <w:rPr>
          <w:rFonts w:cs="Arial"/>
          <w:b w:val="0"/>
        </w:rPr>
        <w:t>, is deleted and replaced with the following:</w:t>
      </w:r>
    </w:p>
    <w:p w14:paraId="143ED5F3" w14:textId="77777777" w:rsidR="00C74A8B" w:rsidRPr="007C60E9" w:rsidRDefault="004702F0" w:rsidP="00BD1283">
      <w:pPr>
        <w:pStyle w:val="blockhd1"/>
        <w:widowControl w:val="0"/>
        <w:tabs>
          <w:tab w:val="left" w:pos="720"/>
        </w:tabs>
        <w:spacing w:after="70" w:line="240" w:lineRule="auto"/>
        <w:ind w:firstLine="360"/>
      </w:pPr>
      <w:r w:rsidRPr="007C60E9">
        <w:t>2</w:t>
      </w:r>
      <w:r w:rsidR="00C74A8B" w:rsidRPr="007C60E9">
        <w:t>.</w:t>
      </w:r>
      <w:r w:rsidR="00C74A8B" w:rsidRPr="007C60E9">
        <w:tab/>
        <w:t>Bankruptcy</w:t>
      </w:r>
    </w:p>
    <w:p w14:paraId="143ED5F4" w14:textId="77777777" w:rsidR="002365FF" w:rsidRPr="007C60E9" w:rsidRDefault="006C3B0F" w:rsidP="00C74A8B">
      <w:pPr>
        <w:pStyle w:val="blockhd1"/>
        <w:widowControl w:val="0"/>
        <w:tabs>
          <w:tab w:val="left" w:pos="720"/>
        </w:tabs>
        <w:spacing w:after="70" w:line="240" w:lineRule="auto"/>
        <w:ind w:left="720"/>
        <w:rPr>
          <w:b w:val="0"/>
        </w:rPr>
      </w:pPr>
      <w:r w:rsidRPr="007C60E9">
        <w:rPr>
          <w:b w:val="0"/>
        </w:rPr>
        <w:t>The bankruptcy, insolvency, or dissolution of you or your estate, will not relieve you or us of any obligation under this Coverage Form.</w:t>
      </w:r>
    </w:p>
    <w:p w14:paraId="5AF4E0C1" w14:textId="77777777" w:rsidR="00315235" w:rsidRDefault="00943620" w:rsidP="00315235">
      <w:pPr>
        <w:pStyle w:val="blockhd1"/>
        <w:keepNext w:val="0"/>
        <w:keepLines w:val="0"/>
        <w:widowControl w:val="0"/>
        <w:tabs>
          <w:tab w:val="left" w:pos="720"/>
        </w:tabs>
        <w:spacing w:before="0" w:line="240" w:lineRule="auto"/>
        <w:ind w:left="360" w:hanging="360"/>
        <w:jc w:val="both"/>
        <w:rPr>
          <w:rFonts w:cs="Arial"/>
          <w:b w:val="0"/>
        </w:rPr>
      </w:pPr>
      <w:r w:rsidRPr="007C60E9">
        <w:rPr>
          <w:rFonts w:cs="Arial"/>
        </w:rPr>
        <w:t>4</w:t>
      </w:r>
      <w:r w:rsidR="00F903FA" w:rsidRPr="007C60E9">
        <w:rPr>
          <w:rFonts w:cs="Arial"/>
        </w:rPr>
        <w:t>.</w:t>
      </w:r>
      <w:r w:rsidR="00F903FA" w:rsidRPr="007C60E9">
        <w:rPr>
          <w:rFonts w:cs="Arial"/>
        </w:rPr>
        <w:tab/>
      </w:r>
      <w:r w:rsidR="002C60FA" w:rsidRPr="007C60E9">
        <w:rPr>
          <w:rFonts w:cs="Arial"/>
        </w:rPr>
        <w:t>E</w:t>
      </w:r>
      <w:r w:rsidR="002365FF" w:rsidRPr="007C60E9">
        <w:rPr>
          <w:rFonts w:cs="Arial"/>
        </w:rPr>
        <w:t>. ADDITIONAL CONDITIONS</w:t>
      </w:r>
      <w:r w:rsidR="002365FF" w:rsidRPr="007C60E9">
        <w:rPr>
          <w:rFonts w:cs="Arial"/>
          <w:b w:val="0"/>
        </w:rPr>
        <w:t xml:space="preserve">, </w:t>
      </w:r>
      <w:r w:rsidR="004702F0" w:rsidRPr="007C60E9">
        <w:rPr>
          <w:rFonts w:cs="Arial"/>
        </w:rPr>
        <w:t>3</w:t>
      </w:r>
      <w:r w:rsidR="002C60FA" w:rsidRPr="007C60E9">
        <w:rPr>
          <w:rFonts w:cs="Arial"/>
        </w:rPr>
        <w:t xml:space="preserve">. Defense </w:t>
      </w:r>
      <w:proofErr w:type="gramStart"/>
      <w:r w:rsidR="002C60FA" w:rsidRPr="007C60E9">
        <w:rPr>
          <w:rFonts w:cs="Arial"/>
        </w:rPr>
        <w:t>And</w:t>
      </w:r>
      <w:proofErr w:type="gramEnd"/>
      <w:r w:rsidR="002C60FA" w:rsidRPr="007C60E9">
        <w:rPr>
          <w:rFonts w:cs="Arial"/>
        </w:rPr>
        <w:t xml:space="preserve"> Settlement</w:t>
      </w:r>
      <w:r w:rsidR="009012F4" w:rsidRPr="007C60E9">
        <w:rPr>
          <w:rFonts w:cs="Arial"/>
          <w:b w:val="0"/>
        </w:rPr>
        <w:t>, paragraph</w:t>
      </w:r>
      <w:r w:rsidRPr="007C60E9">
        <w:rPr>
          <w:rFonts w:cs="Arial"/>
          <w:b w:val="0"/>
        </w:rPr>
        <w:t>s</w:t>
      </w:r>
      <w:r w:rsidR="00752BF2">
        <w:rPr>
          <w:rFonts w:cs="Arial"/>
          <w:b w:val="0"/>
        </w:rPr>
        <w:t xml:space="preserve"> </w:t>
      </w:r>
      <w:r w:rsidR="00315235" w:rsidRPr="00315235">
        <w:rPr>
          <w:rFonts w:cs="Arial"/>
          <w:bCs/>
        </w:rPr>
        <w:t>e.</w:t>
      </w:r>
      <w:r w:rsidR="00315235">
        <w:rPr>
          <w:rFonts w:cs="Arial"/>
          <w:b w:val="0"/>
        </w:rPr>
        <w:t xml:space="preserve"> </w:t>
      </w:r>
      <w:r w:rsidR="00BC7A97" w:rsidRPr="007C60E9">
        <w:rPr>
          <w:rFonts w:cs="Arial"/>
        </w:rPr>
        <w:t>(1)</w:t>
      </w:r>
      <w:r w:rsidR="00BC7A97" w:rsidRPr="007C60E9">
        <w:rPr>
          <w:rFonts w:cs="Arial"/>
          <w:b w:val="0"/>
        </w:rPr>
        <w:t xml:space="preserve"> and </w:t>
      </w:r>
      <w:r w:rsidR="00BC7A97" w:rsidRPr="007C60E9">
        <w:rPr>
          <w:rFonts w:cs="Arial"/>
        </w:rPr>
        <w:t>(2)</w:t>
      </w:r>
      <w:r w:rsidR="00BC7A97" w:rsidRPr="007C60E9">
        <w:rPr>
          <w:rFonts w:cs="Arial"/>
          <w:b w:val="0"/>
        </w:rPr>
        <w:t xml:space="preserve"> are</w:t>
      </w:r>
      <w:r w:rsidR="002365FF" w:rsidRPr="007C60E9">
        <w:rPr>
          <w:rFonts w:cs="Arial"/>
          <w:b w:val="0"/>
        </w:rPr>
        <w:t xml:space="preserve"> deleted and </w:t>
      </w:r>
    </w:p>
    <w:p w14:paraId="143ED5F6" w14:textId="6F323C62" w:rsidR="002365FF" w:rsidRPr="007C60E9" w:rsidRDefault="00315235" w:rsidP="00315235">
      <w:pPr>
        <w:pStyle w:val="blockhd1"/>
        <w:keepNext w:val="0"/>
        <w:keepLines w:val="0"/>
        <w:widowControl w:val="0"/>
        <w:tabs>
          <w:tab w:val="left" w:pos="720"/>
        </w:tabs>
        <w:spacing w:before="0" w:line="240" w:lineRule="auto"/>
        <w:ind w:left="360" w:hanging="360"/>
        <w:jc w:val="both"/>
        <w:rPr>
          <w:rFonts w:cs="Arial"/>
          <w:b w:val="0"/>
        </w:rPr>
      </w:pPr>
      <w:r>
        <w:rPr>
          <w:rFonts w:cs="Arial"/>
        </w:rPr>
        <w:t xml:space="preserve">           </w:t>
      </w:r>
      <w:r w:rsidR="002365FF" w:rsidRPr="007C60E9">
        <w:rPr>
          <w:rFonts w:cs="Arial"/>
          <w:b w:val="0"/>
        </w:rPr>
        <w:t>replaced</w:t>
      </w:r>
      <w:r w:rsidR="00943620" w:rsidRPr="007C60E9">
        <w:rPr>
          <w:rFonts w:cs="Arial"/>
          <w:b w:val="0"/>
        </w:rPr>
        <w:t xml:space="preserve"> </w:t>
      </w:r>
      <w:r w:rsidR="002365FF" w:rsidRPr="007C60E9">
        <w:rPr>
          <w:rFonts w:cs="Arial"/>
          <w:b w:val="0"/>
        </w:rPr>
        <w:t>with the following:</w:t>
      </w:r>
    </w:p>
    <w:p w14:paraId="143ED5F7" w14:textId="77777777" w:rsidR="00F7471F" w:rsidRPr="007C60E9" w:rsidRDefault="002365FF" w:rsidP="00C74A8B">
      <w:pPr>
        <w:pStyle w:val="blockhd1"/>
        <w:widowControl w:val="0"/>
        <w:tabs>
          <w:tab w:val="left" w:pos="720"/>
        </w:tabs>
        <w:spacing w:after="70" w:line="240" w:lineRule="auto"/>
        <w:ind w:left="360" w:hanging="450"/>
        <w:rPr>
          <w:b w:val="0"/>
        </w:rPr>
      </w:pPr>
      <w:r w:rsidRPr="007C60E9">
        <w:rPr>
          <w:b w:val="0"/>
        </w:rPr>
        <w:tab/>
      </w:r>
      <w:r w:rsidR="00A41989" w:rsidRPr="007C60E9">
        <w:t>(1)</w:t>
      </w:r>
      <w:r w:rsidR="00A41989" w:rsidRPr="007C60E9">
        <w:rPr>
          <w:b w:val="0"/>
        </w:rPr>
        <w:tab/>
      </w:r>
      <w:r w:rsidR="00B27F39" w:rsidRPr="007C60E9">
        <w:rPr>
          <w:b w:val="0"/>
        </w:rPr>
        <w:t>Before entry of judgment; and</w:t>
      </w:r>
    </w:p>
    <w:p w14:paraId="143ED5F8" w14:textId="77777777" w:rsidR="00E45B37" w:rsidRDefault="00A41989" w:rsidP="00BD1283">
      <w:pPr>
        <w:pStyle w:val="blocktext1"/>
        <w:tabs>
          <w:tab w:val="left" w:pos="720"/>
        </w:tabs>
        <w:ind w:left="720" w:hanging="360"/>
      </w:pPr>
      <w:r w:rsidRPr="007C60E9">
        <w:rPr>
          <w:b/>
        </w:rPr>
        <w:t>(2)</w:t>
      </w:r>
      <w:r w:rsidRPr="007C60E9">
        <w:tab/>
      </w:r>
      <w:r w:rsidR="00B27F39" w:rsidRPr="007C60E9">
        <w:t>After entry of judgment but before we pay, offer to pay or deposit in court that part of the judgment within the applicable limit of insurance or, in any case, before we pay or offer to pay the entire applicable limit of insurance.</w:t>
      </w:r>
    </w:p>
    <w:p w14:paraId="59542E90" w14:textId="77777777" w:rsidR="00C77A7E" w:rsidRDefault="00C77A7E" w:rsidP="00BD1283">
      <w:pPr>
        <w:pStyle w:val="blocktext1"/>
        <w:tabs>
          <w:tab w:val="left" w:pos="720"/>
        </w:tabs>
        <w:ind w:left="720" w:hanging="360"/>
        <w:rPr>
          <w:rFonts w:cs="Arial"/>
        </w:rPr>
      </w:pPr>
    </w:p>
    <w:p w14:paraId="2F8EEB7A" w14:textId="77777777" w:rsidR="00C77A7E" w:rsidRDefault="00C77A7E" w:rsidP="00BD1283">
      <w:pPr>
        <w:pStyle w:val="blocktext1"/>
        <w:tabs>
          <w:tab w:val="left" w:pos="720"/>
        </w:tabs>
        <w:ind w:left="720" w:hanging="360"/>
        <w:rPr>
          <w:rFonts w:cs="Arial"/>
        </w:rPr>
      </w:pPr>
    </w:p>
    <w:p w14:paraId="26F2947B" w14:textId="77777777" w:rsidR="004822B2" w:rsidRDefault="004822B2" w:rsidP="00C77A7E">
      <w:pPr>
        <w:overflowPunct/>
        <w:autoSpaceDE/>
        <w:autoSpaceDN/>
        <w:adjustRightInd/>
        <w:spacing w:after="80"/>
        <w:ind w:left="270" w:right="-58"/>
        <w:jc w:val="left"/>
        <w:textAlignment w:val="auto"/>
      </w:pPr>
    </w:p>
    <w:p w14:paraId="56DC569F" w14:textId="1429E994" w:rsidR="00C77A7E" w:rsidRPr="009C425F" w:rsidRDefault="00C77A7E" w:rsidP="00C77A7E">
      <w:pPr>
        <w:overflowPunct/>
        <w:autoSpaceDE/>
        <w:autoSpaceDN/>
        <w:adjustRightInd/>
        <w:spacing w:after="80"/>
        <w:ind w:left="270" w:right="-58"/>
        <w:jc w:val="left"/>
        <w:textAlignment w:val="auto"/>
      </w:pPr>
      <w:r w:rsidRPr="009C425F">
        <w:t>All other terms and conditions of this Policy remain unchanged.</w:t>
      </w:r>
    </w:p>
    <w:p w14:paraId="5DF3FDBB" w14:textId="77777777" w:rsidR="00C77A7E" w:rsidRPr="009C425F" w:rsidRDefault="00C77A7E" w:rsidP="00C77A7E">
      <w:pPr>
        <w:overflowPunct/>
        <w:autoSpaceDE/>
        <w:autoSpaceDN/>
        <w:adjustRightInd/>
        <w:spacing w:after="80"/>
        <w:ind w:left="270" w:right="-58"/>
        <w:jc w:val="left"/>
        <w:textAlignment w:val="auto"/>
      </w:pPr>
    </w:p>
    <w:p w14:paraId="7459E551" w14:textId="77777777" w:rsidR="00C77A7E" w:rsidRPr="009C425F" w:rsidRDefault="00C77A7E" w:rsidP="00C77A7E">
      <w:pPr>
        <w:overflowPunct/>
        <w:autoSpaceDE/>
        <w:autoSpaceDN/>
        <w:adjustRightInd/>
        <w:spacing w:after="80"/>
        <w:ind w:left="270" w:right="-58"/>
        <w:jc w:val="left"/>
        <w:textAlignment w:val="auto"/>
      </w:pPr>
    </w:p>
    <w:p w14:paraId="37BF5454" w14:textId="599DC20A" w:rsidR="00C77A7E" w:rsidRPr="009C425F" w:rsidRDefault="00C77A7E" w:rsidP="00C77A7E">
      <w:pPr>
        <w:overflowPunct/>
        <w:autoSpaceDE/>
        <w:autoSpaceDN/>
        <w:adjustRightInd/>
        <w:spacing w:after="80"/>
        <w:ind w:left="270" w:right="-58"/>
        <w:jc w:val="left"/>
        <w:textAlignment w:val="auto"/>
      </w:pPr>
      <w:r w:rsidRPr="009C425F">
        <w:tab/>
      </w:r>
      <w:r w:rsidRPr="009C425F">
        <w:tab/>
      </w:r>
      <w:r w:rsidRPr="009C425F">
        <w:tab/>
      </w:r>
      <w:r w:rsidRPr="009C425F">
        <w:tab/>
      </w:r>
      <w:r w:rsidRPr="009C425F">
        <w:tab/>
      </w:r>
      <w:r w:rsidRPr="009C425F">
        <w:tab/>
      </w:r>
      <w:r w:rsidRPr="009C425F">
        <w:tab/>
        <w:t>__________________</w:t>
      </w:r>
      <w:r w:rsidR="004822B2">
        <w:t>_____</w:t>
      </w:r>
    </w:p>
    <w:p w14:paraId="4212F6C1" w14:textId="77777777" w:rsidR="00C77A7E" w:rsidRDefault="00C77A7E" w:rsidP="00C77A7E">
      <w:pPr>
        <w:overflowPunct/>
        <w:autoSpaceDE/>
        <w:autoSpaceDN/>
        <w:adjustRightInd/>
        <w:spacing w:after="80"/>
        <w:ind w:left="270" w:right="-58"/>
        <w:jc w:val="left"/>
        <w:textAlignment w:val="auto"/>
      </w:pPr>
      <w:r w:rsidRPr="009C425F">
        <w:tab/>
      </w:r>
      <w:r w:rsidRPr="009C425F">
        <w:tab/>
      </w:r>
      <w:r w:rsidRPr="009C425F">
        <w:tab/>
      </w:r>
      <w:r w:rsidRPr="009C425F">
        <w:tab/>
      </w:r>
      <w:r w:rsidRPr="009C425F">
        <w:tab/>
      </w:r>
      <w:r w:rsidRPr="009C425F">
        <w:tab/>
      </w:r>
      <w:r w:rsidRPr="009C425F">
        <w:tab/>
        <w:t>Authorized Representative</w:t>
      </w:r>
    </w:p>
    <w:p w14:paraId="429CE528" w14:textId="77777777" w:rsidR="00C77A7E" w:rsidRPr="007C60E9" w:rsidRDefault="00C77A7E" w:rsidP="00C77A7E">
      <w:pPr>
        <w:pStyle w:val="blocktext1"/>
        <w:tabs>
          <w:tab w:val="left" w:pos="720"/>
        </w:tabs>
        <w:ind w:left="720" w:hanging="720"/>
        <w:rPr>
          <w:rFonts w:cs="Arial"/>
        </w:rPr>
      </w:pPr>
    </w:p>
    <w:sectPr w:rsidR="00C77A7E" w:rsidRPr="007C60E9" w:rsidSect="00B67B65">
      <w:type w:val="continuous"/>
      <w:pgSz w:w="12240" w:h="15840"/>
      <w:pgMar w:top="1080" w:right="1080" w:bottom="108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ED5FB" w14:textId="77777777" w:rsidR="0025714B" w:rsidRDefault="0025714B" w:rsidP="003C55D3">
      <w:r>
        <w:separator/>
      </w:r>
    </w:p>
  </w:endnote>
  <w:endnote w:type="continuationSeparator" w:id="0">
    <w:p w14:paraId="143ED5FC" w14:textId="77777777" w:rsidR="0025714B" w:rsidRDefault="0025714B"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43ED605" w14:textId="77777777">
      <w:tc>
        <w:tcPr>
          <w:tcW w:w="2201" w:type="dxa"/>
          <w:tcBorders>
            <w:top w:val="nil"/>
            <w:left w:val="nil"/>
            <w:bottom w:val="nil"/>
            <w:right w:val="nil"/>
          </w:tcBorders>
        </w:tcPr>
        <w:p w14:paraId="143ED601"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943305">
            <w:rPr>
              <w:noProof/>
              <w:sz w:val="18"/>
            </w:rPr>
            <w:fldChar w:fldCharType="begin"/>
          </w:r>
          <w:r w:rsidR="00943305">
            <w:rPr>
              <w:noProof/>
              <w:sz w:val="18"/>
            </w:rPr>
            <w:instrText xml:space="preserve"> NUMPAGES  \* MERGEFORMAT </w:instrText>
          </w:r>
          <w:r w:rsidR="00943305">
            <w:rPr>
              <w:noProof/>
              <w:sz w:val="18"/>
            </w:rPr>
            <w:fldChar w:fldCharType="separate"/>
          </w:r>
          <w:r w:rsidR="00EA4B77">
            <w:rPr>
              <w:noProof/>
              <w:sz w:val="18"/>
            </w:rPr>
            <w:t>2</w:t>
          </w:r>
          <w:r w:rsidR="00943305">
            <w:rPr>
              <w:noProof/>
              <w:sz w:val="18"/>
            </w:rPr>
            <w:fldChar w:fldCharType="end"/>
          </w:r>
        </w:p>
      </w:tc>
      <w:tc>
        <w:tcPr>
          <w:tcW w:w="5911" w:type="dxa"/>
          <w:tcBorders>
            <w:top w:val="nil"/>
            <w:left w:val="nil"/>
            <w:bottom w:val="nil"/>
            <w:right w:val="nil"/>
          </w:tcBorders>
        </w:tcPr>
        <w:p w14:paraId="143ED602" w14:textId="77777777" w:rsidR="00CC4485" w:rsidRDefault="00CC4485">
          <w:pPr>
            <w:pStyle w:val="isof1"/>
            <w:jc w:val="center"/>
            <w:rPr>
              <w:sz w:val="18"/>
            </w:rPr>
          </w:pPr>
        </w:p>
      </w:tc>
      <w:tc>
        <w:tcPr>
          <w:tcW w:w="2088" w:type="dxa"/>
          <w:tcBorders>
            <w:top w:val="nil"/>
            <w:left w:val="nil"/>
            <w:bottom w:val="nil"/>
            <w:right w:val="nil"/>
          </w:tcBorders>
        </w:tcPr>
        <w:p w14:paraId="143ED603" w14:textId="77777777" w:rsidR="00CC4485" w:rsidRDefault="00CC4485">
          <w:pPr>
            <w:pStyle w:val="isof2"/>
            <w:jc w:val="right"/>
            <w:rPr>
              <w:sz w:val="18"/>
            </w:rPr>
          </w:pPr>
        </w:p>
      </w:tc>
      <w:tc>
        <w:tcPr>
          <w:tcW w:w="600" w:type="dxa"/>
          <w:tcBorders>
            <w:top w:val="nil"/>
            <w:left w:val="nil"/>
            <w:bottom w:val="nil"/>
            <w:right w:val="nil"/>
          </w:tcBorders>
        </w:tcPr>
        <w:p w14:paraId="143ED604" w14:textId="77777777" w:rsidR="00CC4485" w:rsidRDefault="00CC4485">
          <w:pPr>
            <w:jc w:val="right"/>
            <w:rPr>
              <w:sz w:val="18"/>
            </w:rPr>
          </w:pPr>
        </w:p>
      </w:tc>
    </w:tr>
  </w:tbl>
  <w:p w14:paraId="143ED606"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43ED60B" w14:textId="77777777">
      <w:tc>
        <w:tcPr>
          <w:tcW w:w="2201" w:type="dxa"/>
          <w:tcBorders>
            <w:top w:val="nil"/>
            <w:left w:val="nil"/>
            <w:bottom w:val="nil"/>
            <w:right w:val="nil"/>
          </w:tcBorders>
        </w:tcPr>
        <w:p w14:paraId="143ED607" w14:textId="77777777" w:rsidR="00CC4485" w:rsidRDefault="00CC4485">
          <w:pPr>
            <w:pStyle w:val="isof2"/>
            <w:jc w:val="left"/>
            <w:rPr>
              <w:sz w:val="18"/>
            </w:rPr>
          </w:pPr>
        </w:p>
      </w:tc>
      <w:tc>
        <w:tcPr>
          <w:tcW w:w="5911" w:type="dxa"/>
          <w:tcBorders>
            <w:top w:val="nil"/>
            <w:left w:val="nil"/>
            <w:bottom w:val="nil"/>
            <w:right w:val="nil"/>
          </w:tcBorders>
        </w:tcPr>
        <w:p w14:paraId="143ED608" w14:textId="77777777" w:rsidR="00CC4485" w:rsidRDefault="00CC4485">
          <w:pPr>
            <w:pStyle w:val="isof1"/>
            <w:jc w:val="center"/>
            <w:rPr>
              <w:sz w:val="18"/>
            </w:rPr>
          </w:pPr>
        </w:p>
      </w:tc>
      <w:tc>
        <w:tcPr>
          <w:tcW w:w="2088" w:type="dxa"/>
          <w:tcBorders>
            <w:top w:val="nil"/>
            <w:left w:val="nil"/>
            <w:bottom w:val="nil"/>
            <w:right w:val="nil"/>
          </w:tcBorders>
        </w:tcPr>
        <w:p w14:paraId="143ED609"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943305">
            <w:rPr>
              <w:noProof/>
              <w:sz w:val="18"/>
            </w:rPr>
            <w:fldChar w:fldCharType="begin"/>
          </w:r>
          <w:r w:rsidR="00943305">
            <w:rPr>
              <w:noProof/>
              <w:sz w:val="18"/>
            </w:rPr>
            <w:instrText xml:space="preserve"> NUMPAGES  \* MERGEFORMAT </w:instrText>
          </w:r>
          <w:r w:rsidR="00943305">
            <w:rPr>
              <w:noProof/>
              <w:sz w:val="18"/>
            </w:rPr>
            <w:fldChar w:fldCharType="separate"/>
          </w:r>
          <w:r w:rsidR="00EA4B77">
            <w:rPr>
              <w:noProof/>
              <w:sz w:val="18"/>
            </w:rPr>
            <w:t>2</w:t>
          </w:r>
          <w:r w:rsidR="00943305">
            <w:rPr>
              <w:noProof/>
              <w:sz w:val="18"/>
            </w:rPr>
            <w:fldChar w:fldCharType="end"/>
          </w:r>
        </w:p>
      </w:tc>
      <w:tc>
        <w:tcPr>
          <w:tcW w:w="600" w:type="dxa"/>
          <w:tcBorders>
            <w:top w:val="nil"/>
            <w:left w:val="nil"/>
            <w:bottom w:val="nil"/>
            <w:right w:val="nil"/>
          </w:tcBorders>
        </w:tcPr>
        <w:p w14:paraId="143ED60A" w14:textId="77777777" w:rsidR="00CC4485" w:rsidRDefault="00CC4485">
          <w:pPr>
            <w:jc w:val="right"/>
            <w:rPr>
              <w:sz w:val="18"/>
            </w:rPr>
          </w:pPr>
        </w:p>
      </w:tc>
    </w:tr>
  </w:tbl>
  <w:p w14:paraId="143ED60C"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007DFF" w14:paraId="143ED612" w14:textId="77777777" w:rsidTr="0000271D">
      <w:tc>
        <w:tcPr>
          <w:tcW w:w="2201" w:type="dxa"/>
          <w:tcBorders>
            <w:top w:val="nil"/>
            <w:left w:val="nil"/>
            <w:bottom w:val="nil"/>
            <w:right w:val="nil"/>
          </w:tcBorders>
        </w:tcPr>
        <w:p w14:paraId="143ED60E" w14:textId="77777777" w:rsidR="00007DFF" w:rsidRPr="0047137C" w:rsidRDefault="00007DFF" w:rsidP="00007DFF">
          <w:pPr>
            <w:jc w:val="left"/>
            <w:rPr>
              <w:sz w:val="16"/>
              <w:szCs w:val="16"/>
            </w:rPr>
          </w:pPr>
        </w:p>
      </w:tc>
      <w:tc>
        <w:tcPr>
          <w:tcW w:w="5911" w:type="dxa"/>
          <w:tcBorders>
            <w:top w:val="nil"/>
            <w:left w:val="nil"/>
            <w:bottom w:val="nil"/>
            <w:right w:val="nil"/>
          </w:tcBorders>
        </w:tcPr>
        <w:p w14:paraId="143ED60F" w14:textId="77777777" w:rsidR="00007DFF" w:rsidRDefault="00007DFF" w:rsidP="00007DFF">
          <w:pPr>
            <w:pStyle w:val="isof1"/>
            <w:jc w:val="center"/>
            <w:rPr>
              <w:sz w:val="18"/>
            </w:rPr>
          </w:pPr>
        </w:p>
      </w:tc>
      <w:tc>
        <w:tcPr>
          <w:tcW w:w="2088" w:type="dxa"/>
          <w:tcBorders>
            <w:top w:val="nil"/>
            <w:left w:val="nil"/>
            <w:bottom w:val="nil"/>
            <w:right w:val="nil"/>
          </w:tcBorders>
        </w:tcPr>
        <w:p w14:paraId="143ED610" w14:textId="77777777" w:rsidR="00007DFF" w:rsidRPr="008674AD" w:rsidRDefault="00007DFF" w:rsidP="00007DFF">
          <w:pPr>
            <w:pStyle w:val="isof2"/>
            <w:jc w:val="right"/>
            <w:rPr>
              <w:b w:val="0"/>
              <w:sz w:val="18"/>
            </w:rPr>
          </w:pPr>
        </w:p>
      </w:tc>
      <w:tc>
        <w:tcPr>
          <w:tcW w:w="600" w:type="dxa"/>
          <w:tcBorders>
            <w:top w:val="nil"/>
            <w:left w:val="nil"/>
            <w:bottom w:val="nil"/>
            <w:right w:val="nil"/>
          </w:tcBorders>
        </w:tcPr>
        <w:p w14:paraId="143ED611" w14:textId="77777777" w:rsidR="00007DFF" w:rsidRDefault="00007DFF" w:rsidP="00007DFF">
          <w:pPr>
            <w:jc w:val="right"/>
            <w:rPr>
              <w:sz w:val="18"/>
            </w:rPr>
          </w:pPr>
        </w:p>
      </w:tc>
    </w:tr>
  </w:tbl>
  <w:p w14:paraId="65C20E84" w14:textId="2A62ED0A" w:rsidR="003F4FD5" w:rsidRPr="00315235" w:rsidRDefault="007E6617" w:rsidP="003F4FD5">
    <w:pPr>
      <w:widowControl w:val="0"/>
      <w:tabs>
        <w:tab w:val="center" w:pos="4680"/>
        <w:tab w:val="right" w:pos="10080"/>
      </w:tabs>
      <w:overflowPunct/>
      <w:autoSpaceDE/>
      <w:autoSpaceDN/>
      <w:adjustRightInd/>
      <w:ind w:right="-450" w:hanging="540"/>
      <w:jc w:val="left"/>
      <w:textAlignment w:val="auto"/>
      <w:rPr>
        <w:rFonts w:eastAsiaTheme="minorHAnsi" w:cs="Arial"/>
        <w:bCs/>
        <w:sz w:val="16"/>
        <w:szCs w:val="16"/>
      </w:rPr>
    </w:pPr>
    <w:r w:rsidRPr="007E6617">
      <w:rPr>
        <w:rFonts w:eastAsiaTheme="minorHAnsi" w:cs="Arial"/>
        <w:bCs/>
        <w:sz w:val="16"/>
        <w:szCs w:val="16"/>
      </w:rPr>
      <w:t>148527</w:t>
    </w:r>
    <w:r>
      <w:rPr>
        <w:rFonts w:eastAsiaTheme="minorHAnsi" w:cs="Arial"/>
        <w:bCs/>
        <w:sz w:val="16"/>
        <w:szCs w:val="16"/>
      </w:rPr>
      <w:t xml:space="preserve"> (01/26)</w:t>
    </w:r>
    <w:r w:rsidR="003F4FD5" w:rsidRPr="00315235">
      <w:rPr>
        <w:rFonts w:eastAsiaTheme="minorHAnsi" w:cs="Arial"/>
        <w:bCs/>
        <w:sz w:val="16"/>
        <w:szCs w:val="16"/>
      </w:rPr>
      <w:tab/>
      <w:t>© 2020, The Hartford Steam Boiler Inspection and Insurance Company.  All rights reserved.</w:t>
    </w:r>
    <w:r w:rsidR="003F4FD5" w:rsidRPr="00315235">
      <w:rPr>
        <w:rFonts w:eastAsiaTheme="minorHAnsi" w:cs="Arial"/>
        <w:bCs/>
        <w:sz w:val="16"/>
        <w:szCs w:val="16"/>
      </w:rPr>
      <w:tab/>
      <w:t xml:space="preserve">Page </w:t>
    </w:r>
    <w:r w:rsidR="003F4FD5" w:rsidRPr="00315235">
      <w:rPr>
        <w:rFonts w:eastAsiaTheme="minorHAnsi" w:cs="Arial"/>
        <w:bCs/>
        <w:sz w:val="16"/>
        <w:szCs w:val="16"/>
      </w:rPr>
      <w:fldChar w:fldCharType="begin"/>
    </w:r>
    <w:r w:rsidR="003F4FD5" w:rsidRPr="00315235">
      <w:rPr>
        <w:rFonts w:eastAsiaTheme="minorHAnsi" w:cs="Arial"/>
        <w:bCs/>
        <w:sz w:val="16"/>
        <w:szCs w:val="16"/>
      </w:rPr>
      <w:instrText xml:space="preserve"> PAGE </w:instrText>
    </w:r>
    <w:r w:rsidR="003F4FD5" w:rsidRPr="00315235">
      <w:rPr>
        <w:rFonts w:eastAsiaTheme="minorHAnsi" w:cs="Arial"/>
        <w:bCs/>
        <w:sz w:val="16"/>
        <w:szCs w:val="16"/>
      </w:rPr>
      <w:fldChar w:fldCharType="separate"/>
    </w:r>
    <w:r w:rsidR="003F4FD5">
      <w:rPr>
        <w:rFonts w:eastAsiaTheme="minorHAnsi" w:cs="Arial"/>
        <w:bCs/>
        <w:sz w:val="16"/>
        <w:szCs w:val="16"/>
      </w:rPr>
      <w:t>2</w:t>
    </w:r>
    <w:r w:rsidR="003F4FD5" w:rsidRPr="00315235">
      <w:rPr>
        <w:rFonts w:eastAsiaTheme="minorHAnsi" w:cs="Arial"/>
        <w:bCs/>
        <w:sz w:val="16"/>
        <w:szCs w:val="16"/>
      </w:rPr>
      <w:fldChar w:fldCharType="end"/>
    </w:r>
    <w:r w:rsidR="003F4FD5" w:rsidRPr="00315235">
      <w:rPr>
        <w:rFonts w:eastAsiaTheme="minorHAnsi" w:cs="Arial"/>
        <w:bCs/>
        <w:sz w:val="16"/>
        <w:szCs w:val="16"/>
      </w:rPr>
      <w:t xml:space="preserve"> of </w:t>
    </w:r>
    <w:r w:rsidR="003F4FD5" w:rsidRPr="00315235">
      <w:rPr>
        <w:rFonts w:eastAsiaTheme="minorHAnsi" w:cs="Arial"/>
        <w:bCs/>
        <w:sz w:val="16"/>
        <w:szCs w:val="16"/>
      </w:rPr>
      <w:fldChar w:fldCharType="begin"/>
    </w:r>
    <w:r w:rsidR="003F4FD5" w:rsidRPr="00315235">
      <w:rPr>
        <w:rFonts w:eastAsiaTheme="minorHAnsi" w:cs="Arial"/>
        <w:bCs/>
        <w:sz w:val="16"/>
        <w:szCs w:val="16"/>
      </w:rPr>
      <w:instrText xml:space="preserve"> NUMPAGES  </w:instrText>
    </w:r>
    <w:r w:rsidR="003F4FD5" w:rsidRPr="00315235">
      <w:rPr>
        <w:rFonts w:eastAsiaTheme="minorHAnsi" w:cs="Arial"/>
        <w:bCs/>
        <w:sz w:val="16"/>
        <w:szCs w:val="16"/>
      </w:rPr>
      <w:fldChar w:fldCharType="separate"/>
    </w:r>
    <w:r w:rsidR="003F4FD5">
      <w:rPr>
        <w:rFonts w:eastAsiaTheme="minorHAnsi" w:cs="Arial"/>
        <w:bCs/>
        <w:sz w:val="16"/>
        <w:szCs w:val="16"/>
      </w:rPr>
      <w:t>2</w:t>
    </w:r>
    <w:r w:rsidR="003F4FD5" w:rsidRPr="00315235">
      <w:rPr>
        <w:rFonts w:eastAsiaTheme="minorHAnsi" w:cs="Arial"/>
        <w:bCs/>
        <w:sz w:val="16"/>
        <w:szCs w:val="16"/>
      </w:rPr>
      <w:fldChar w:fldCharType="end"/>
    </w:r>
  </w:p>
  <w:p w14:paraId="143ED61A" w14:textId="296EDEA0" w:rsidR="00CC4485" w:rsidRPr="00A774AD" w:rsidRDefault="00CC4485" w:rsidP="003F4FD5">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43ED622" w14:textId="77777777">
      <w:tc>
        <w:tcPr>
          <w:tcW w:w="2201" w:type="dxa"/>
          <w:tcBorders>
            <w:top w:val="nil"/>
            <w:left w:val="nil"/>
            <w:bottom w:val="nil"/>
            <w:right w:val="nil"/>
          </w:tcBorders>
        </w:tcPr>
        <w:p w14:paraId="143ED61E"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143ED61F"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143ED620"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943305">
            <w:rPr>
              <w:noProof/>
              <w:sz w:val="18"/>
            </w:rPr>
            <w:fldChar w:fldCharType="begin"/>
          </w:r>
          <w:r w:rsidR="00943305">
            <w:rPr>
              <w:noProof/>
              <w:sz w:val="18"/>
            </w:rPr>
            <w:instrText xml:space="preserve"> NUMPAGES  \* MERGEFORMAT </w:instrText>
          </w:r>
          <w:r w:rsidR="00943305">
            <w:rPr>
              <w:noProof/>
              <w:sz w:val="18"/>
            </w:rPr>
            <w:fldChar w:fldCharType="separate"/>
          </w:r>
          <w:r w:rsidR="00EA4B77">
            <w:rPr>
              <w:noProof/>
              <w:sz w:val="18"/>
            </w:rPr>
            <w:t>2</w:t>
          </w:r>
          <w:r w:rsidR="00943305">
            <w:rPr>
              <w:noProof/>
              <w:sz w:val="18"/>
            </w:rPr>
            <w:fldChar w:fldCharType="end"/>
          </w:r>
        </w:p>
      </w:tc>
      <w:tc>
        <w:tcPr>
          <w:tcW w:w="600" w:type="dxa"/>
          <w:tcBorders>
            <w:top w:val="nil"/>
            <w:left w:val="nil"/>
            <w:bottom w:val="nil"/>
            <w:right w:val="nil"/>
          </w:tcBorders>
        </w:tcPr>
        <w:p w14:paraId="143ED621" w14:textId="77777777" w:rsidR="00CC4485" w:rsidRDefault="00CC4485">
          <w:pPr>
            <w:jc w:val="right"/>
            <w:rPr>
              <w:sz w:val="18"/>
            </w:rPr>
          </w:pPr>
        </w:p>
      </w:tc>
    </w:tr>
  </w:tbl>
  <w:p w14:paraId="143ED623"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43DC" w14:textId="77777777" w:rsidR="00A774AD" w:rsidRDefault="00A774AD" w:rsidP="00A774AD">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p>
  <w:p w14:paraId="4BADA31F" w14:textId="77777777" w:rsidR="00A774AD" w:rsidRDefault="00A774AD" w:rsidP="00A774AD">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p>
  <w:p w14:paraId="143ED626" w14:textId="2367D58F" w:rsidR="00CC4485" w:rsidRPr="00315235" w:rsidRDefault="007E6617" w:rsidP="00A774AD">
    <w:pPr>
      <w:widowControl w:val="0"/>
      <w:tabs>
        <w:tab w:val="center" w:pos="4680"/>
        <w:tab w:val="right" w:pos="10080"/>
      </w:tabs>
      <w:overflowPunct/>
      <w:autoSpaceDE/>
      <w:autoSpaceDN/>
      <w:adjustRightInd/>
      <w:ind w:right="-450" w:hanging="540"/>
      <w:jc w:val="left"/>
      <w:textAlignment w:val="auto"/>
      <w:rPr>
        <w:rFonts w:eastAsiaTheme="minorHAnsi" w:cs="Arial"/>
        <w:bCs/>
        <w:sz w:val="16"/>
        <w:szCs w:val="16"/>
      </w:rPr>
    </w:pPr>
    <w:r w:rsidRPr="007E6617">
      <w:rPr>
        <w:rFonts w:eastAsiaTheme="minorHAnsi" w:cs="Arial"/>
        <w:bCs/>
        <w:sz w:val="16"/>
        <w:szCs w:val="16"/>
      </w:rPr>
      <w:t>148527</w:t>
    </w:r>
    <w:r>
      <w:rPr>
        <w:rFonts w:eastAsiaTheme="minorHAnsi" w:cs="Arial"/>
        <w:bCs/>
        <w:sz w:val="16"/>
        <w:szCs w:val="16"/>
      </w:rPr>
      <w:t xml:space="preserve"> (01/26)</w:t>
    </w:r>
    <w:r w:rsidR="00A774AD" w:rsidRPr="00315235">
      <w:rPr>
        <w:rFonts w:eastAsiaTheme="minorHAnsi" w:cs="Arial"/>
        <w:bCs/>
        <w:sz w:val="16"/>
        <w:szCs w:val="16"/>
      </w:rPr>
      <w:tab/>
      <w:t>© 2020, The Hartford Steam Boiler Inspection and Insurance Company.  All rights reserved.</w:t>
    </w:r>
    <w:r w:rsidR="00A774AD" w:rsidRPr="00315235">
      <w:rPr>
        <w:rFonts w:eastAsiaTheme="minorHAnsi" w:cs="Arial"/>
        <w:bCs/>
        <w:sz w:val="16"/>
        <w:szCs w:val="16"/>
      </w:rPr>
      <w:tab/>
      <w:t xml:space="preserve">Page </w:t>
    </w:r>
    <w:r w:rsidR="00A774AD" w:rsidRPr="00315235">
      <w:rPr>
        <w:rFonts w:eastAsiaTheme="minorHAnsi" w:cs="Arial"/>
        <w:bCs/>
        <w:sz w:val="16"/>
        <w:szCs w:val="16"/>
      </w:rPr>
      <w:fldChar w:fldCharType="begin"/>
    </w:r>
    <w:r w:rsidR="00A774AD" w:rsidRPr="00315235">
      <w:rPr>
        <w:rFonts w:eastAsiaTheme="minorHAnsi" w:cs="Arial"/>
        <w:bCs/>
        <w:sz w:val="16"/>
        <w:szCs w:val="16"/>
      </w:rPr>
      <w:instrText xml:space="preserve"> PAGE </w:instrText>
    </w:r>
    <w:r w:rsidR="00A774AD" w:rsidRPr="00315235">
      <w:rPr>
        <w:rFonts w:eastAsiaTheme="minorHAnsi" w:cs="Arial"/>
        <w:bCs/>
        <w:sz w:val="16"/>
        <w:szCs w:val="16"/>
      </w:rPr>
      <w:fldChar w:fldCharType="separate"/>
    </w:r>
    <w:r w:rsidR="00A774AD" w:rsidRPr="00315235">
      <w:rPr>
        <w:rFonts w:eastAsiaTheme="minorHAnsi" w:cs="Arial"/>
        <w:bCs/>
        <w:sz w:val="16"/>
        <w:szCs w:val="16"/>
      </w:rPr>
      <w:t>1</w:t>
    </w:r>
    <w:r w:rsidR="00A774AD" w:rsidRPr="00315235">
      <w:rPr>
        <w:rFonts w:eastAsiaTheme="minorHAnsi" w:cs="Arial"/>
        <w:bCs/>
        <w:sz w:val="16"/>
        <w:szCs w:val="16"/>
      </w:rPr>
      <w:fldChar w:fldCharType="end"/>
    </w:r>
    <w:r w:rsidR="00A774AD" w:rsidRPr="00315235">
      <w:rPr>
        <w:rFonts w:eastAsiaTheme="minorHAnsi" w:cs="Arial"/>
        <w:bCs/>
        <w:sz w:val="16"/>
        <w:szCs w:val="16"/>
      </w:rPr>
      <w:t xml:space="preserve"> of </w:t>
    </w:r>
    <w:r w:rsidR="00A774AD" w:rsidRPr="00315235">
      <w:rPr>
        <w:rFonts w:eastAsiaTheme="minorHAnsi" w:cs="Arial"/>
        <w:bCs/>
        <w:sz w:val="16"/>
        <w:szCs w:val="16"/>
      </w:rPr>
      <w:fldChar w:fldCharType="begin"/>
    </w:r>
    <w:r w:rsidR="00A774AD" w:rsidRPr="00315235">
      <w:rPr>
        <w:rFonts w:eastAsiaTheme="minorHAnsi" w:cs="Arial"/>
        <w:bCs/>
        <w:sz w:val="16"/>
        <w:szCs w:val="16"/>
      </w:rPr>
      <w:instrText xml:space="preserve"> NUMPAGES  </w:instrText>
    </w:r>
    <w:r w:rsidR="00A774AD" w:rsidRPr="00315235">
      <w:rPr>
        <w:rFonts w:eastAsiaTheme="minorHAnsi" w:cs="Arial"/>
        <w:bCs/>
        <w:sz w:val="16"/>
        <w:szCs w:val="16"/>
      </w:rPr>
      <w:fldChar w:fldCharType="separate"/>
    </w:r>
    <w:r w:rsidR="00A774AD" w:rsidRPr="00315235">
      <w:rPr>
        <w:rFonts w:eastAsiaTheme="minorHAnsi" w:cs="Arial"/>
        <w:bCs/>
        <w:sz w:val="16"/>
        <w:szCs w:val="16"/>
      </w:rPr>
      <w:t>2</w:t>
    </w:r>
    <w:r w:rsidR="00A774AD" w:rsidRPr="00315235">
      <w:rPr>
        <w:rFonts w:eastAsiaTheme="minorHAnsi" w:cs="Arial"/>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43ED630" w14:textId="77777777">
      <w:tc>
        <w:tcPr>
          <w:tcW w:w="2201" w:type="dxa"/>
          <w:tcBorders>
            <w:top w:val="nil"/>
            <w:left w:val="nil"/>
            <w:bottom w:val="nil"/>
            <w:right w:val="nil"/>
          </w:tcBorders>
        </w:tcPr>
        <w:p w14:paraId="143ED62C" w14:textId="77777777" w:rsidR="00CC4485" w:rsidRDefault="00CC4485">
          <w:pPr>
            <w:pStyle w:val="isof2"/>
            <w:jc w:val="left"/>
            <w:rPr>
              <w:sz w:val="18"/>
            </w:rPr>
          </w:pPr>
        </w:p>
      </w:tc>
      <w:tc>
        <w:tcPr>
          <w:tcW w:w="5911" w:type="dxa"/>
          <w:tcBorders>
            <w:top w:val="nil"/>
            <w:left w:val="nil"/>
            <w:bottom w:val="nil"/>
            <w:right w:val="nil"/>
          </w:tcBorders>
        </w:tcPr>
        <w:p w14:paraId="143ED62D" w14:textId="77777777" w:rsidR="00CC4485" w:rsidRDefault="00CC4485">
          <w:pPr>
            <w:pStyle w:val="isof1"/>
            <w:jc w:val="center"/>
            <w:rPr>
              <w:sz w:val="18"/>
            </w:rPr>
          </w:pPr>
        </w:p>
      </w:tc>
      <w:tc>
        <w:tcPr>
          <w:tcW w:w="2088" w:type="dxa"/>
          <w:tcBorders>
            <w:top w:val="nil"/>
            <w:left w:val="nil"/>
            <w:bottom w:val="nil"/>
            <w:right w:val="nil"/>
          </w:tcBorders>
        </w:tcPr>
        <w:p w14:paraId="143ED62E"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943305">
            <w:rPr>
              <w:noProof/>
              <w:sz w:val="18"/>
            </w:rPr>
            <w:fldChar w:fldCharType="begin"/>
          </w:r>
          <w:r w:rsidR="00943305">
            <w:rPr>
              <w:noProof/>
              <w:sz w:val="18"/>
            </w:rPr>
            <w:instrText xml:space="preserve"> NUMPAGES  \* MERGEFORMAT </w:instrText>
          </w:r>
          <w:r w:rsidR="00943305">
            <w:rPr>
              <w:noProof/>
              <w:sz w:val="18"/>
            </w:rPr>
            <w:fldChar w:fldCharType="separate"/>
          </w:r>
          <w:r w:rsidR="00EA4B77">
            <w:rPr>
              <w:noProof/>
              <w:sz w:val="18"/>
            </w:rPr>
            <w:t>2</w:t>
          </w:r>
          <w:r w:rsidR="00943305">
            <w:rPr>
              <w:noProof/>
              <w:sz w:val="18"/>
            </w:rPr>
            <w:fldChar w:fldCharType="end"/>
          </w:r>
        </w:p>
      </w:tc>
      <w:tc>
        <w:tcPr>
          <w:tcW w:w="600" w:type="dxa"/>
          <w:tcBorders>
            <w:top w:val="nil"/>
            <w:left w:val="nil"/>
            <w:bottom w:val="nil"/>
            <w:right w:val="nil"/>
          </w:tcBorders>
        </w:tcPr>
        <w:p w14:paraId="143ED62F" w14:textId="77777777" w:rsidR="00CC4485" w:rsidRDefault="00CC4485">
          <w:pPr>
            <w:jc w:val="right"/>
            <w:rPr>
              <w:sz w:val="18"/>
            </w:rPr>
          </w:pPr>
        </w:p>
      </w:tc>
    </w:tr>
  </w:tbl>
  <w:p w14:paraId="143ED631"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ED5F9" w14:textId="77777777" w:rsidR="0025714B" w:rsidRDefault="0025714B" w:rsidP="003C55D3">
      <w:r>
        <w:separator/>
      </w:r>
    </w:p>
  </w:footnote>
  <w:footnote w:type="continuationSeparator" w:id="0">
    <w:p w14:paraId="143ED5FA" w14:textId="77777777" w:rsidR="0025714B" w:rsidRDefault="0025714B"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D5FD" w14:textId="40CAFC74" w:rsidR="00CC4485" w:rsidRDefault="00CC4485">
    <w:pPr>
      <w:pStyle w:val="Header"/>
    </w:pPr>
    <w:r>
      <w:t>DRAFT – FOR DISCUSSION PURPOSES ONLY</w:t>
    </w:r>
  </w:p>
  <w:p w14:paraId="143ED5FE"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D5FF" w14:textId="4643D7DD" w:rsidR="00CC4485" w:rsidRDefault="00CC4485" w:rsidP="00D23A6E">
    <w:pPr>
      <w:pStyle w:val="Header"/>
    </w:pPr>
    <w:r>
      <w:t>DRAFT – FOR DISCUSSION PURPOSES ONLY</w:t>
    </w:r>
  </w:p>
  <w:p w14:paraId="143ED600"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D61B" w14:textId="794590C4"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D61C" w14:textId="7CCFA67C" w:rsidR="003E2878" w:rsidRPr="00785F6C" w:rsidRDefault="009C481E" w:rsidP="003E2878">
    <w:pPr>
      <w:pStyle w:val="title18"/>
      <w:pBdr>
        <w:bottom w:val="single" w:sz="4" w:space="1" w:color="auto"/>
      </w:pBdr>
      <w:suppressAutoHyphens/>
      <w:spacing w:line="240" w:lineRule="auto"/>
      <w:jc w:val="left"/>
      <w:rPr>
        <w:sz w:val="32"/>
        <w:szCs w:val="32"/>
      </w:rPr>
    </w:pPr>
    <w:r>
      <w:rPr>
        <w:caps w:val="0"/>
        <w:sz w:val="32"/>
        <w:szCs w:val="32"/>
      </w:rPr>
      <w:t>Minnesota</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143ED61D"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143ED628" w14:textId="77777777">
      <w:tc>
        <w:tcPr>
          <w:tcW w:w="5040" w:type="dxa"/>
          <w:tcBorders>
            <w:top w:val="nil"/>
            <w:left w:val="nil"/>
            <w:bottom w:val="nil"/>
            <w:right w:val="nil"/>
          </w:tcBorders>
        </w:tcPr>
        <w:p w14:paraId="143ED627" w14:textId="77777777" w:rsidR="00CC4485" w:rsidRDefault="00CC4485">
          <w:pPr>
            <w:pStyle w:val="Header"/>
            <w:rPr>
              <w:sz w:val="18"/>
            </w:rPr>
          </w:pPr>
        </w:p>
      </w:tc>
    </w:tr>
  </w:tbl>
  <w:p w14:paraId="143ED629" w14:textId="33BD1E70" w:rsidR="00CC4485" w:rsidRDefault="00CC4485">
    <w:pPr>
      <w:pStyle w:val="Header"/>
      <w:rPr>
        <w:sz w:val="18"/>
      </w:rPr>
    </w:pPr>
  </w:p>
  <w:p w14:paraId="143ED62A" w14:textId="77777777" w:rsidR="00CC4485" w:rsidRDefault="00CC4485">
    <w:pPr>
      <w:pStyle w:val="isof3"/>
      <w:rPr>
        <w:sz w:val="22"/>
      </w:rPr>
    </w:pPr>
    <w:r>
      <w:rPr>
        <w:sz w:val="22"/>
      </w:rPr>
      <w:t>THIS ENDORSEMENT CHANGES THE POLICY.  PLEASE READ INFORMATION TECHNOLOGY CAREFULLY.</w:t>
    </w:r>
  </w:p>
  <w:p w14:paraId="143ED62B"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41316455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271D"/>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611F3"/>
    <w:rsid w:val="0006254E"/>
    <w:rsid w:val="000628E5"/>
    <w:rsid w:val="00064D26"/>
    <w:rsid w:val="00072FBF"/>
    <w:rsid w:val="00073735"/>
    <w:rsid w:val="00073D01"/>
    <w:rsid w:val="0007664A"/>
    <w:rsid w:val="000802D3"/>
    <w:rsid w:val="00080AEE"/>
    <w:rsid w:val="00081DAB"/>
    <w:rsid w:val="00083821"/>
    <w:rsid w:val="00084DA8"/>
    <w:rsid w:val="0008539B"/>
    <w:rsid w:val="000870A5"/>
    <w:rsid w:val="00090549"/>
    <w:rsid w:val="000948B2"/>
    <w:rsid w:val="00094D45"/>
    <w:rsid w:val="0009724A"/>
    <w:rsid w:val="000A4E22"/>
    <w:rsid w:val="000B03C0"/>
    <w:rsid w:val="000B1391"/>
    <w:rsid w:val="000B280F"/>
    <w:rsid w:val="000B41E5"/>
    <w:rsid w:val="000B5082"/>
    <w:rsid w:val="000B6AE2"/>
    <w:rsid w:val="000B6CD9"/>
    <w:rsid w:val="000C1D7C"/>
    <w:rsid w:val="000C2EB4"/>
    <w:rsid w:val="000C3D53"/>
    <w:rsid w:val="000C4370"/>
    <w:rsid w:val="000C74A5"/>
    <w:rsid w:val="000D179E"/>
    <w:rsid w:val="000D1A5F"/>
    <w:rsid w:val="000D3708"/>
    <w:rsid w:val="000D780F"/>
    <w:rsid w:val="000F0D5A"/>
    <w:rsid w:val="000F1A7F"/>
    <w:rsid w:val="000F3750"/>
    <w:rsid w:val="000F5E2B"/>
    <w:rsid w:val="00102F76"/>
    <w:rsid w:val="001077B7"/>
    <w:rsid w:val="0011067A"/>
    <w:rsid w:val="00111576"/>
    <w:rsid w:val="0012058B"/>
    <w:rsid w:val="001331FB"/>
    <w:rsid w:val="00133D57"/>
    <w:rsid w:val="001344C6"/>
    <w:rsid w:val="00137439"/>
    <w:rsid w:val="00140FBC"/>
    <w:rsid w:val="001416B0"/>
    <w:rsid w:val="00142F26"/>
    <w:rsid w:val="00143A43"/>
    <w:rsid w:val="001448FE"/>
    <w:rsid w:val="00145984"/>
    <w:rsid w:val="001509A8"/>
    <w:rsid w:val="00150CDC"/>
    <w:rsid w:val="0015118E"/>
    <w:rsid w:val="001541F0"/>
    <w:rsid w:val="00155B22"/>
    <w:rsid w:val="00156584"/>
    <w:rsid w:val="00156966"/>
    <w:rsid w:val="001610A6"/>
    <w:rsid w:val="00161DC5"/>
    <w:rsid w:val="001621B6"/>
    <w:rsid w:val="00164C0E"/>
    <w:rsid w:val="0016549A"/>
    <w:rsid w:val="00167A61"/>
    <w:rsid w:val="00173997"/>
    <w:rsid w:val="00174237"/>
    <w:rsid w:val="00174C9B"/>
    <w:rsid w:val="001807BE"/>
    <w:rsid w:val="001812CB"/>
    <w:rsid w:val="001819FE"/>
    <w:rsid w:val="00184AA1"/>
    <w:rsid w:val="001906BD"/>
    <w:rsid w:val="00190CD6"/>
    <w:rsid w:val="00190FF6"/>
    <w:rsid w:val="001925EC"/>
    <w:rsid w:val="001975CC"/>
    <w:rsid w:val="001A1498"/>
    <w:rsid w:val="001A73FD"/>
    <w:rsid w:val="001A7449"/>
    <w:rsid w:val="001B318D"/>
    <w:rsid w:val="001B3548"/>
    <w:rsid w:val="001B4A5A"/>
    <w:rsid w:val="001B5760"/>
    <w:rsid w:val="001B5AE0"/>
    <w:rsid w:val="001C0AF4"/>
    <w:rsid w:val="001C144D"/>
    <w:rsid w:val="001C317D"/>
    <w:rsid w:val="001D0307"/>
    <w:rsid w:val="001D18C5"/>
    <w:rsid w:val="001D25EF"/>
    <w:rsid w:val="001E20FF"/>
    <w:rsid w:val="001E4679"/>
    <w:rsid w:val="001E6772"/>
    <w:rsid w:val="001E7192"/>
    <w:rsid w:val="001F0C13"/>
    <w:rsid w:val="00201271"/>
    <w:rsid w:val="00204B12"/>
    <w:rsid w:val="002119B6"/>
    <w:rsid w:val="00214465"/>
    <w:rsid w:val="0021557F"/>
    <w:rsid w:val="00217F9B"/>
    <w:rsid w:val="002275C2"/>
    <w:rsid w:val="0023171B"/>
    <w:rsid w:val="0023189A"/>
    <w:rsid w:val="00234502"/>
    <w:rsid w:val="002365FF"/>
    <w:rsid w:val="002369C9"/>
    <w:rsid w:val="00236D41"/>
    <w:rsid w:val="00246416"/>
    <w:rsid w:val="0025023D"/>
    <w:rsid w:val="002504BF"/>
    <w:rsid w:val="00254116"/>
    <w:rsid w:val="0025567E"/>
    <w:rsid w:val="0025714B"/>
    <w:rsid w:val="00261124"/>
    <w:rsid w:val="00267E5C"/>
    <w:rsid w:val="0027077B"/>
    <w:rsid w:val="002734B2"/>
    <w:rsid w:val="002741DD"/>
    <w:rsid w:val="00275019"/>
    <w:rsid w:val="00280954"/>
    <w:rsid w:val="002809E7"/>
    <w:rsid w:val="00283AFD"/>
    <w:rsid w:val="00284F9A"/>
    <w:rsid w:val="00285F7F"/>
    <w:rsid w:val="0029246B"/>
    <w:rsid w:val="0029295B"/>
    <w:rsid w:val="00295290"/>
    <w:rsid w:val="00295827"/>
    <w:rsid w:val="002A116D"/>
    <w:rsid w:val="002A2F6A"/>
    <w:rsid w:val="002A3C28"/>
    <w:rsid w:val="002A3D62"/>
    <w:rsid w:val="002A54E3"/>
    <w:rsid w:val="002A56EF"/>
    <w:rsid w:val="002A6F6D"/>
    <w:rsid w:val="002B0AF0"/>
    <w:rsid w:val="002B2835"/>
    <w:rsid w:val="002B46CD"/>
    <w:rsid w:val="002B46F2"/>
    <w:rsid w:val="002B744F"/>
    <w:rsid w:val="002B7C93"/>
    <w:rsid w:val="002C25E9"/>
    <w:rsid w:val="002C30E4"/>
    <w:rsid w:val="002C60FA"/>
    <w:rsid w:val="002C778D"/>
    <w:rsid w:val="002D1E37"/>
    <w:rsid w:val="002D3B68"/>
    <w:rsid w:val="002D3EAE"/>
    <w:rsid w:val="002D3FE6"/>
    <w:rsid w:val="002D3FEA"/>
    <w:rsid w:val="002D636A"/>
    <w:rsid w:val="002E11E9"/>
    <w:rsid w:val="002E757B"/>
    <w:rsid w:val="002F1690"/>
    <w:rsid w:val="002F3121"/>
    <w:rsid w:val="002F6100"/>
    <w:rsid w:val="002F647F"/>
    <w:rsid w:val="00302DA6"/>
    <w:rsid w:val="00303D9D"/>
    <w:rsid w:val="0031331C"/>
    <w:rsid w:val="00314821"/>
    <w:rsid w:val="00315235"/>
    <w:rsid w:val="00316D95"/>
    <w:rsid w:val="00320101"/>
    <w:rsid w:val="00320AD2"/>
    <w:rsid w:val="00320B23"/>
    <w:rsid w:val="003275A5"/>
    <w:rsid w:val="00332B81"/>
    <w:rsid w:val="00335FCC"/>
    <w:rsid w:val="003530DA"/>
    <w:rsid w:val="00353F08"/>
    <w:rsid w:val="0035555A"/>
    <w:rsid w:val="0036029A"/>
    <w:rsid w:val="003603F7"/>
    <w:rsid w:val="003616EF"/>
    <w:rsid w:val="00361A93"/>
    <w:rsid w:val="00366F60"/>
    <w:rsid w:val="00367C28"/>
    <w:rsid w:val="003718D2"/>
    <w:rsid w:val="003763D3"/>
    <w:rsid w:val="00381596"/>
    <w:rsid w:val="003826AB"/>
    <w:rsid w:val="0038446E"/>
    <w:rsid w:val="00385178"/>
    <w:rsid w:val="00385972"/>
    <w:rsid w:val="00387242"/>
    <w:rsid w:val="00387FD4"/>
    <w:rsid w:val="00390D2D"/>
    <w:rsid w:val="00392B57"/>
    <w:rsid w:val="003943C3"/>
    <w:rsid w:val="0039581F"/>
    <w:rsid w:val="003A0789"/>
    <w:rsid w:val="003A1980"/>
    <w:rsid w:val="003A1EE9"/>
    <w:rsid w:val="003A7FBF"/>
    <w:rsid w:val="003B3762"/>
    <w:rsid w:val="003C0EAE"/>
    <w:rsid w:val="003C160B"/>
    <w:rsid w:val="003C26FB"/>
    <w:rsid w:val="003C280D"/>
    <w:rsid w:val="003C3A15"/>
    <w:rsid w:val="003C535F"/>
    <w:rsid w:val="003C55D3"/>
    <w:rsid w:val="003D5C20"/>
    <w:rsid w:val="003D6C1D"/>
    <w:rsid w:val="003E11A7"/>
    <w:rsid w:val="003E1F4B"/>
    <w:rsid w:val="003E2878"/>
    <w:rsid w:val="003E4790"/>
    <w:rsid w:val="003E519B"/>
    <w:rsid w:val="003E65D4"/>
    <w:rsid w:val="003F1134"/>
    <w:rsid w:val="003F4018"/>
    <w:rsid w:val="003F4B31"/>
    <w:rsid w:val="003F4FD5"/>
    <w:rsid w:val="003F5C72"/>
    <w:rsid w:val="003F684C"/>
    <w:rsid w:val="003F698A"/>
    <w:rsid w:val="003F6F88"/>
    <w:rsid w:val="00401440"/>
    <w:rsid w:val="00411417"/>
    <w:rsid w:val="004121E1"/>
    <w:rsid w:val="00415C29"/>
    <w:rsid w:val="00417F7D"/>
    <w:rsid w:val="00421777"/>
    <w:rsid w:val="00432179"/>
    <w:rsid w:val="00433460"/>
    <w:rsid w:val="004459E0"/>
    <w:rsid w:val="0045030B"/>
    <w:rsid w:val="00451096"/>
    <w:rsid w:val="00452CDB"/>
    <w:rsid w:val="00457CCD"/>
    <w:rsid w:val="00460FDF"/>
    <w:rsid w:val="004616D4"/>
    <w:rsid w:val="00464243"/>
    <w:rsid w:val="0046591B"/>
    <w:rsid w:val="00465CA7"/>
    <w:rsid w:val="004702F0"/>
    <w:rsid w:val="0047137C"/>
    <w:rsid w:val="00472E9A"/>
    <w:rsid w:val="00474EC9"/>
    <w:rsid w:val="00481D13"/>
    <w:rsid w:val="00481F08"/>
    <w:rsid w:val="004822B2"/>
    <w:rsid w:val="00487C0E"/>
    <w:rsid w:val="00487F3C"/>
    <w:rsid w:val="00497C68"/>
    <w:rsid w:val="004A032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20CA7"/>
    <w:rsid w:val="00523F60"/>
    <w:rsid w:val="005240F6"/>
    <w:rsid w:val="00525479"/>
    <w:rsid w:val="00525E3F"/>
    <w:rsid w:val="005357FA"/>
    <w:rsid w:val="00536D57"/>
    <w:rsid w:val="005417F0"/>
    <w:rsid w:val="00543364"/>
    <w:rsid w:val="005445E7"/>
    <w:rsid w:val="00544658"/>
    <w:rsid w:val="005478AF"/>
    <w:rsid w:val="00547BDE"/>
    <w:rsid w:val="0055307B"/>
    <w:rsid w:val="005549E4"/>
    <w:rsid w:val="005553FC"/>
    <w:rsid w:val="005564D5"/>
    <w:rsid w:val="00571348"/>
    <w:rsid w:val="00574243"/>
    <w:rsid w:val="005805BB"/>
    <w:rsid w:val="00585C77"/>
    <w:rsid w:val="00586971"/>
    <w:rsid w:val="00590958"/>
    <w:rsid w:val="00591D19"/>
    <w:rsid w:val="00594DC7"/>
    <w:rsid w:val="005A038C"/>
    <w:rsid w:val="005A0591"/>
    <w:rsid w:val="005A3733"/>
    <w:rsid w:val="005A7322"/>
    <w:rsid w:val="005B41ED"/>
    <w:rsid w:val="005B44C5"/>
    <w:rsid w:val="005B6D10"/>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6214"/>
    <w:rsid w:val="005F7033"/>
    <w:rsid w:val="00602174"/>
    <w:rsid w:val="00606E00"/>
    <w:rsid w:val="00610055"/>
    <w:rsid w:val="00610CE7"/>
    <w:rsid w:val="00611041"/>
    <w:rsid w:val="00611465"/>
    <w:rsid w:val="006118CF"/>
    <w:rsid w:val="00611B98"/>
    <w:rsid w:val="0061208A"/>
    <w:rsid w:val="006131E2"/>
    <w:rsid w:val="006140DA"/>
    <w:rsid w:val="0062045C"/>
    <w:rsid w:val="0062645F"/>
    <w:rsid w:val="006303E9"/>
    <w:rsid w:val="00630627"/>
    <w:rsid w:val="00630C1C"/>
    <w:rsid w:val="006319D2"/>
    <w:rsid w:val="0063242D"/>
    <w:rsid w:val="00632899"/>
    <w:rsid w:val="006370A6"/>
    <w:rsid w:val="00641189"/>
    <w:rsid w:val="006435AA"/>
    <w:rsid w:val="00645D10"/>
    <w:rsid w:val="00646747"/>
    <w:rsid w:val="00653894"/>
    <w:rsid w:val="00654AB4"/>
    <w:rsid w:val="0066457C"/>
    <w:rsid w:val="00667357"/>
    <w:rsid w:val="006678A1"/>
    <w:rsid w:val="00670691"/>
    <w:rsid w:val="006712E5"/>
    <w:rsid w:val="00674601"/>
    <w:rsid w:val="00675282"/>
    <w:rsid w:val="006808E5"/>
    <w:rsid w:val="00680F66"/>
    <w:rsid w:val="00682D0F"/>
    <w:rsid w:val="00693351"/>
    <w:rsid w:val="00696214"/>
    <w:rsid w:val="006A1B53"/>
    <w:rsid w:val="006A2BB2"/>
    <w:rsid w:val="006A4B2A"/>
    <w:rsid w:val="006A62DA"/>
    <w:rsid w:val="006B23EA"/>
    <w:rsid w:val="006B7EFA"/>
    <w:rsid w:val="006C3479"/>
    <w:rsid w:val="006C3B0F"/>
    <w:rsid w:val="006C61C6"/>
    <w:rsid w:val="006C6FD4"/>
    <w:rsid w:val="006D069B"/>
    <w:rsid w:val="006D0D37"/>
    <w:rsid w:val="006D4A36"/>
    <w:rsid w:val="006D6E17"/>
    <w:rsid w:val="006E2D86"/>
    <w:rsid w:val="006E445C"/>
    <w:rsid w:val="006E4E33"/>
    <w:rsid w:val="006F09DF"/>
    <w:rsid w:val="006F10A3"/>
    <w:rsid w:val="006F2AC3"/>
    <w:rsid w:val="006F4D23"/>
    <w:rsid w:val="006F5BFA"/>
    <w:rsid w:val="006F698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3479C"/>
    <w:rsid w:val="00740229"/>
    <w:rsid w:val="0074348D"/>
    <w:rsid w:val="007439F2"/>
    <w:rsid w:val="007472DE"/>
    <w:rsid w:val="00751F89"/>
    <w:rsid w:val="00752BF2"/>
    <w:rsid w:val="00752FE3"/>
    <w:rsid w:val="00762E7C"/>
    <w:rsid w:val="00765BA0"/>
    <w:rsid w:val="007832FB"/>
    <w:rsid w:val="00784E4C"/>
    <w:rsid w:val="00785F6C"/>
    <w:rsid w:val="00787783"/>
    <w:rsid w:val="0079174A"/>
    <w:rsid w:val="00793202"/>
    <w:rsid w:val="00794050"/>
    <w:rsid w:val="007943F1"/>
    <w:rsid w:val="007966A2"/>
    <w:rsid w:val="00796E63"/>
    <w:rsid w:val="00797EB0"/>
    <w:rsid w:val="007A4FE6"/>
    <w:rsid w:val="007A5E6D"/>
    <w:rsid w:val="007A714C"/>
    <w:rsid w:val="007B0A8F"/>
    <w:rsid w:val="007B0F33"/>
    <w:rsid w:val="007B1A99"/>
    <w:rsid w:val="007B6076"/>
    <w:rsid w:val="007B6966"/>
    <w:rsid w:val="007C27F3"/>
    <w:rsid w:val="007C2AF8"/>
    <w:rsid w:val="007C5253"/>
    <w:rsid w:val="007C5C9A"/>
    <w:rsid w:val="007C60E9"/>
    <w:rsid w:val="007D0300"/>
    <w:rsid w:val="007D218D"/>
    <w:rsid w:val="007D3565"/>
    <w:rsid w:val="007D6854"/>
    <w:rsid w:val="007D6935"/>
    <w:rsid w:val="007E28B1"/>
    <w:rsid w:val="007E6617"/>
    <w:rsid w:val="007F1226"/>
    <w:rsid w:val="007F28F4"/>
    <w:rsid w:val="007F35D1"/>
    <w:rsid w:val="007F6874"/>
    <w:rsid w:val="007F70C5"/>
    <w:rsid w:val="00801548"/>
    <w:rsid w:val="0080255B"/>
    <w:rsid w:val="0080385F"/>
    <w:rsid w:val="00803CE4"/>
    <w:rsid w:val="00803D74"/>
    <w:rsid w:val="008042D7"/>
    <w:rsid w:val="00804394"/>
    <w:rsid w:val="0080589D"/>
    <w:rsid w:val="00806E82"/>
    <w:rsid w:val="00810AA2"/>
    <w:rsid w:val="00810EB8"/>
    <w:rsid w:val="00814C4C"/>
    <w:rsid w:val="008174B1"/>
    <w:rsid w:val="00821F9F"/>
    <w:rsid w:val="00822048"/>
    <w:rsid w:val="008226D1"/>
    <w:rsid w:val="00823E87"/>
    <w:rsid w:val="0082459C"/>
    <w:rsid w:val="0082588B"/>
    <w:rsid w:val="00830382"/>
    <w:rsid w:val="00830877"/>
    <w:rsid w:val="008317CE"/>
    <w:rsid w:val="00831B0C"/>
    <w:rsid w:val="00833A7D"/>
    <w:rsid w:val="00834272"/>
    <w:rsid w:val="008352EE"/>
    <w:rsid w:val="00835527"/>
    <w:rsid w:val="00835FD5"/>
    <w:rsid w:val="008369AB"/>
    <w:rsid w:val="00840E58"/>
    <w:rsid w:val="0085103A"/>
    <w:rsid w:val="008515E8"/>
    <w:rsid w:val="008534E2"/>
    <w:rsid w:val="008538AE"/>
    <w:rsid w:val="00854C89"/>
    <w:rsid w:val="0085638A"/>
    <w:rsid w:val="00856E33"/>
    <w:rsid w:val="00857AE6"/>
    <w:rsid w:val="008601B2"/>
    <w:rsid w:val="008617B2"/>
    <w:rsid w:val="00863E08"/>
    <w:rsid w:val="008642A7"/>
    <w:rsid w:val="00865667"/>
    <w:rsid w:val="008667F9"/>
    <w:rsid w:val="00866887"/>
    <w:rsid w:val="008674AD"/>
    <w:rsid w:val="0087139A"/>
    <w:rsid w:val="008742ED"/>
    <w:rsid w:val="0087443D"/>
    <w:rsid w:val="00881974"/>
    <w:rsid w:val="0088556A"/>
    <w:rsid w:val="00890E5D"/>
    <w:rsid w:val="00891097"/>
    <w:rsid w:val="008926BD"/>
    <w:rsid w:val="00892A97"/>
    <w:rsid w:val="00892D96"/>
    <w:rsid w:val="008930EC"/>
    <w:rsid w:val="00893E56"/>
    <w:rsid w:val="008A04AC"/>
    <w:rsid w:val="008A0C00"/>
    <w:rsid w:val="008A23F0"/>
    <w:rsid w:val="008A5A2C"/>
    <w:rsid w:val="008A604D"/>
    <w:rsid w:val="008B0404"/>
    <w:rsid w:val="008B193C"/>
    <w:rsid w:val="008B545A"/>
    <w:rsid w:val="008B57BA"/>
    <w:rsid w:val="008B7A8A"/>
    <w:rsid w:val="008C2E45"/>
    <w:rsid w:val="008C6965"/>
    <w:rsid w:val="008C73CA"/>
    <w:rsid w:val="008D18FF"/>
    <w:rsid w:val="008D2FCC"/>
    <w:rsid w:val="008D3C5E"/>
    <w:rsid w:val="008D3C61"/>
    <w:rsid w:val="008D4577"/>
    <w:rsid w:val="008D4FD0"/>
    <w:rsid w:val="008E0138"/>
    <w:rsid w:val="008E305A"/>
    <w:rsid w:val="008F693C"/>
    <w:rsid w:val="00900813"/>
    <w:rsid w:val="009012F4"/>
    <w:rsid w:val="00902612"/>
    <w:rsid w:val="0091339D"/>
    <w:rsid w:val="00915698"/>
    <w:rsid w:val="009216CD"/>
    <w:rsid w:val="00921B63"/>
    <w:rsid w:val="00923B0A"/>
    <w:rsid w:val="009308D2"/>
    <w:rsid w:val="00931C45"/>
    <w:rsid w:val="0093271C"/>
    <w:rsid w:val="0093354F"/>
    <w:rsid w:val="00933910"/>
    <w:rsid w:val="0093593C"/>
    <w:rsid w:val="00940684"/>
    <w:rsid w:val="00941488"/>
    <w:rsid w:val="0094224C"/>
    <w:rsid w:val="00943305"/>
    <w:rsid w:val="00943620"/>
    <w:rsid w:val="00944870"/>
    <w:rsid w:val="009460CC"/>
    <w:rsid w:val="009464A3"/>
    <w:rsid w:val="00946A8B"/>
    <w:rsid w:val="00957023"/>
    <w:rsid w:val="009604FE"/>
    <w:rsid w:val="00970E3A"/>
    <w:rsid w:val="00972773"/>
    <w:rsid w:val="00972D4E"/>
    <w:rsid w:val="00974607"/>
    <w:rsid w:val="00975C7C"/>
    <w:rsid w:val="009810B9"/>
    <w:rsid w:val="00982D6F"/>
    <w:rsid w:val="009A4664"/>
    <w:rsid w:val="009A5D69"/>
    <w:rsid w:val="009B43EE"/>
    <w:rsid w:val="009B5726"/>
    <w:rsid w:val="009B729E"/>
    <w:rsid w:val="009C11E1"/>
    <w:rsid w:val="009C481E"/>
    <w:rsid w:val="009D13B5"/>
    <w:rsid w:val="009D5CA9"/>
    <w:rsid w:val="009E0D87"/>
    <w:rsid w:val="009E4864"/>
    <w:rsid w:val="009E5C8C"/>
    <w:rsid w:val="009E646E"/>
    <w:rsid w:val="009F2A4A"/>
    <w:rsid w:val="009F4101"/>
    <w:rsid w:val="00A02132"/>
    <w:rsid w:val="00A037DC"/>
    <w:rsid w:val="00A06A6E"/>
    <w:rsid w:val="00A0723F"/>
    <w:rsid w:val="00A10E4E"/>
    <w:rsid w:val="00A136CC"/>
    <w:rsid w:val="00A14133"/>
    <w:rsid w:val="00A15209"/>
    <w:rsid w:val="00A21406"/>
    <w:rsid w:val="00A2293F"/>
    <w:rsid w:val="00A2451A"/>
    <w:rsid w:val="00A259C5"/>
    <w:rsid w:val="00A27E20"/>
    <w:rsid w:val="00A30E2C"/>
    <w:rsid w:val="00A350BA"/>
    <w:rsid w:val="00A35E62"/>
    <w:rsid w:val="00A41989"/>
    <w:rsid w:val="00A465B7"/>
    <w:rsid w:val="00A506ED"/>
    <w:rsid w:val="00A50D5D"/>
    <w:rsid w:val="00A5264F"/>
    <w:rsid w:val="00A54067"/>
    <w:rsid w:val="00A55F61"/>
    <w:rsid w:val="00A61560"/>
    <w:rsid w:val="00A6372D"/>
    <w:rsid w:val="00A637BE"/>
    <w:rsid w:val="00A639C5"/>
    <w:rsid w:val="00A709E7"/>
    <w:rsid w:val="00A71F50"/>
    <w:rsid w:val="00A73B44"/>
    <w:rsid w:val="00A774AD"/>
    <w:rsid w:val="00A84D3E"/>
    <w:rsid w:val="00A87373"/>
    <w:rsid w:val="00A90413"/>
    <w:rsid w:val="00A91FB9"/>
    <w:rsid w:val="00A92C80"/>
    <w:rsid w:val="00A95243"/>
    <w:rsid w:val="00A96A9E"/>
    <w:rsid w:val="00AA110C"/>
    <w:rsid w:val="00AB6DFB"/>
    <w:rsid w:val="00AC1282"/>
    <w:rsid w:val="00AC27BD"/>
    <w:rsid w:val="00AD1FFA"/>
    <w:rsid w:val="00AD6B0D"/>
    <w:rsid w:val="00AE03D3"/>
    <w:rsid w:val="00AE2780"/>
    <w:rsid w:val="00AE3703"/>
    <w:rsid w:val="00AF11F3"/>
    <w:rsid w:val="00AF39B9"/>
    <w:rsid w:val="00AF58FC"/>
    <w:rsid w:val="00AF7E77"/>
    <w:rsid w:val="00B02E49"/>
    <w:rsid w:val="00B0422C"/>
    <w:rsid w:val="00B05867"/>
    <w:rsid w:val="00B10039"/>
    <w:rsid w:val="00B103C5"/>
    <w:rsid w:val="00B11586"/>
    <w:rsid w:val="00B11E5D"/>
    <w:rsid w:val="00B1410E"/>
    <w:rsid w:val="00B27F39"/>
    <w:rsid w:val="00B30283"/>
    <w:rsid w:val="00B336A8"/>
    <w:rsid w:val="00B365D5"/>
    <w:rsid w:val="00B41F88"/>
    <w:rsid w:val="00B4377F"/>
    <w:rsid w:val="00B43F6A"/>
    <w:rsid w:val="00B4562B"/>
    <w:rsid w:val="00B465EE"/>
    <w:rsid w:val="00B5101C"/>
    <w:rsid w:val="00B51326"/>
    <w:rsid w:val="00B517C1"/>
    <w:rsid w:val="00B518FE"/>
    <w:rsid w:val="00B53349"/>
    <w:rsid w:val="00B53D72"/>
    <w:rsid w:val="00B53DC8"/>
    <w:rsid w:val="00B54395"/>
    <w:rsid w:val="00B63CBB"/>
    <w:rsid w:val="00B66E17"/>
    <w:rsid w:val="00B67032"/>
    <w:rsid w:val="00B67B65"/>
    <w:rsid w:val="00B70E40"/>
    <w:rsid w:val="00B72EA7"/>
    <w:rsid w:val="00B73F12"/>
    <w:rsid w:val="00B7607F"/>
    <w:rsid w:val="00B77099"/>
    <w:rsid w:val="00B77621"/>
    <w:rsid w:val="00B81FA1"/>
    <w:rsid w:val="00B8254B"/>
    <w:rsid w:val="00B8256B"/>
    <w:rsid w:val="00B83148"/>
    <w:rsid w:val="00B90F23"/>
    <w:rsid w:val="00B91AE0"/>
    <w:rsid w:val="00B91B56"/>
    <w:rsid w:val="00B91CD3"/>
    <w:rsid w:val="00B9267A"/>
    <w:rsid w:val="00B948D5"/>
    <w:rsid w:val="00B956E0"/>
    <w:rsid w:val="00B965B0"/>
    <w:rsid w:val="00BA1583"/>
    <w:rsid w:val="00BA169A"/>
    <w:rsid w:val="00BA3713"/>
    <w:rsid w:val="00BA4F8B"/>
    <w:rsid w:val="00BA5248"/>
    <w:rsid w:val="00BA601B"/>
    <w:rsid w:val="00BB0333"/>
    <w:rsid w:val="00BB09D3"/>
    <w:rsid w:val="00BB265C"/>
    <w:rsid w:val="00BB5245"/>
    <w:rsid w:val="00BB6372"/>
    <w:rsid w:val="00BC413F"/>
    <w:rsid w:val="00BC4CD4"/>
    <w:rsid w:val="00BC73D5"/>
    <w:rsid w:val="00BC7A97"/>
    <w:rsid w:val="00BD1283"/>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26084"/>
    <w:rsid w:val="00C32F14"/>
    <w:rsid w:val="00C369CC"/>
    <w:rsid w:val="00C37015"/>
    <w:rsid w:val="00C40060"/>
    <w:rsid w:val="00C4209E"/>
    <w:rsid w:val="00C42F71"/>
    <w:rsid w:val="00C436DD"/>
    <w:rsid w:val="00C50CC4"/>
    <w:rsid w:val="00C51281"/>
    <w:rsid w:val="00C60201"/>
    <w:rsid w:val="00C623F8"/>
    <w:rsid w:val="00C659D9"/>
    <w:rsid w:val="00C7106C"/>
    <w:rsid w:val="00C72F1C"/>
    <w:rsid w:val="00C748A3"/>
    <w:rsid w:val="00C74A8B"/>
    <w:rsid w:val="00C74BA2"/>
    <w:rsid w:val="00C76E06"/>
    <w:rsid w:val="00C77A7E"/>
    <w:rsid w:val="00C82AD7"/>
    <w:rsid w:val="00C875CA"/>
    <w:rsid w:val="00C952DE"/>
    <w:rsid w:val="00C961FA"/>
    <w:rsid w:val="00C962E1"/>
    <w:rsid w:val="00C97443"/>
    <w:rsid w:val="00CA2194"/>
    <w:rsid w:val="00CA339A"/>
    <w:rsid w:val="00CA4CBA"/>
    <w:rsid w:val="00CA7DB2"/>
    <w:rsid w:val="00CB203D"/>
    <w:rsid w:val="00CB27CC"/>
    <w:rsid w:val="00CB6C40"/>
    <w:rsid w:val="00CC4485"/>
    <w:rsid w:val="00CC774B"/>
    <w:rsid w:val="00CD1E9F"/>
    <w:rsid w:val="00CD4049"/>
    <w:rsid w:val="00CD4C8A"/>
    <w:rsid w:val="00CD6D2F"/>
    <w:rsid w:val="00CE3008"/>
    <w:rsid w:val="00CE4255"/>
    <w:rsid w:val="00CF1D12"/>
    <w:rsid w:val="00CF6129"/>
    <w:rsid w:val="00CF77FC"/>
    <w:rsid w:val="00D014D7"/>
    <w:rsid w:val="00D02568"/>
    <w:rsid w:val="00D02671"/>
    <w:rsid w:val="00D043F8"/>
    <w:rsid w:val="00D04CEF"/>
    <w:rsid w:val="00D06B5F"/>
    <w:rsid w:val="00D10AE3"/>
    <w:rsid w:val="00D13B8D"/>
    <w:rsid w:val="00D23626"/>
    <w:rsid w:val="00D23A6E"/>
    <w:rsid w:val="00D34B80"/>
    <w:rsid w:val="00D37895"/>
    <w:rsid w:val="00D45725"/>
    <w:rsid w:val="00D46D8A"/>
    <w:rsid w:val="00D52C96"/>
    <w:rsid w:val="00D53D18"/>
    <w:rsid w:val="00D555DD"/>
    <w:rsid w:val="00D557B0"/>
    <w:rsid w:val="00D578D3"/>
    <w:rsid w:val="00D66A81"/>
    <w:rsid w:val="00D67F55"/>
    <w:rsid w:val="00D777B3"/>
    <w:rsid w:val="00D80DAA"/>
    <w:rsid w:val="00D816F2"/>
    <w:rsid w:val="00D8396B"/>
    <w:rsid w:val="00D861CD"/>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783"/>
    <w:rsid w:val="00DF385E"/>
    <w:rsid w:val="00DF3C76"/>
    <w:rsid w:val="00DF49C5"/>
    <w:rsid w:val="00DF529E"/>
    <w:rsid w:val="00DF6999"/>
    <w:rsid w:val="00DF7B51"/>
    <w:rsid w:val="00E0097E"/>
    <w:rsid w:val="00E052AE"/>
    <w:rsid w:val="00E10DA9"/>
    <w:rsid w:val="00E12F13"/>
    <w:rsid w:val="00E15725"/>
    <w:rsid w:val="00E20345"/>
    <w:rsid w:val="00E20F10"/>
    <w:rsid w:val="00E24115"/>
    <w:rsid w:val="00E2506D"/>
    <w:rsid w:val="00E25893"/>
    <w:rsid w:val="00E3189D"/>
    <w:rsid w:val="00E37514"/>
    <w:rsid w:val="00E44AC1"/>
    <w:rsid w:val="00E45B37"/>
    <w:rsid w:val="00E55437"/>
    <w:rsid w:val="00E5568B"/>
    <w:rsid w:val="00E66E6D"/>
    <w:rsid w:val="00E67266"/>
    <w:rsid w:val="00E71120"/>
    <w:rsid w:val="00E74620"/>
    <w:rsid w:val="00E75C6E"/>
    <w:rsid w:val="00E80A4D"/>
    <w:rsid w:val="00E80E2D"/>
    <w:rsid w:val="00E83F14"/>
    <w:rsid w:val="00E84B27"/>
    <w:rsid w:val="00E852F3"/>
    <w:rsid w:val="00E862E3"/>
    <w:rsid w:val="00E9230F"/>
    <w:rsid w:val="00E96B89"/>
    <w:rsid w:val="00E96F6A"/>
    <w:rsid w:val="00EA29F0"/>
    <w:rsid w:val="00EA4B77"/>
    <w:rsid w:val="00EA566A"/>
    <w:rsid w:val="00EA5DF4"/>
    <w:rsid w:val="00EA7043"/>
    <w:rsid w:val="00EB05E1"/>
    <w:rsid w:val="00EB23D6"/>
    <w:rsid w:val="00EB394C"/>
    <w:rsid w:val="00EC3051"/>
    <w:rsid w:val="00EC460E"/>
    <w:rsid w:val="00EC655C"/>
    <w:rsid w:val="00ED16FB"/>
    <w:rsid w:val="00ED2680"/>
    <w:rsid w:val="00ED523F"/>
    <w:rsid w:val="00ED577D"/>
    <w:rsid w:val="00EE1BEE"/>
    <w:rsid w:val="00EE3CCC"/>
    <w:rsid w:val="00EE6373"/>
    <w:rsid w:val="00EE7444"/>
    <w:rsid w:val="00EF3D4B"/>
    <w:rsid w:val="00EF5D64"/>
    <w:rsid w:val="00F0195D"/>
    <w:rsid w:val="00F05142"/>
    <w:rsid w:val="00F0661A"/>
    <w:rsid w:val="00F255E2"/>
    <w:rsid w:val="00F31DF0"/>
    <w:rsid w:val="00F3474D"/>
    <w:rsid w:val="00F35E56"/>
    <w:rsid w:val="00F3608D"/>
    <w:rsid w:val="00F40B56"/>
    <w:rsid w:val="00F45104"/>
    <w:rsid w:val="00F46ABD"/>
    <w:rsid w:val="00F501B0"/>
    <w:rsid w:val="00F52D1A"/>
    <w:rsid w:val="00F54232"/>
    <w:rsid w:val="00F5435D"/>
    <w:rsid w:val="00F544B3"/>
    <w:rsid w:val="00F55B39"/>
    <w:rsid w:val="00F67650"/>
    <w:rsid w:val="00F71F25"/>
    <w:rsid w:val="00F7471F"/>
    <w:rsid w:val="00F7497A"/>
    <w:rsid w:val="00F74C41"/>
    <w:rsid w:val="00F74E82"/>
    <w:rsid w:val="00F76181"/>
    <w:rsid w:val="00F806E0"/>
    <w:rsid w:val="00F81275"/>
    <w:rsid w:val="00F83AC0"/>
    <w:rsid w:val="00F842B1"/>
    <w:rsid w:val="00F84592"/>
    <w:rsid w:val="00F856AB"/>
    <w:rsid w:val="00F903FA"/>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D720A"/>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65537"/>
    <o:shapelayout v:ext="edit">
      <o:idmap v:ext="edit" data="1"/>
    </o:shapelayout>
  </w:shapeDefaults>
  <w:decimalSymbol w:val="."/>
  <w:listSeparator w:val=","/>
  <w14:docId w14:val="143ED5C3"/>
  <w15:docId w15:val="{9E97C0A5-3C7B-42CB-B1EF-2FDF5DA74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3F4FD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96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6A6401D-622A-4040-8635-0824ACA7263A}">
  <ds:schemaRefs>
    <ds:schemaRef ds:uri="http://schemas.openxmlformats.org/officeDocument/2006/bibliography"/>
  </ds:schemaRefs>
</ds:datastoreItem>
</file>

<file path=customXml/itemProps3.xml><?xml version="1.0" encoding="utf-8"?>
<ds:datastoreItem xmlns:ds="http://schemas.openxmlformats.org/officeDocument/2006/customXml" ds:itemID="{F57C671C-8ADA-4A55-886A-5499D5A8648E}">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5.xml><?xml version="1.0" encoding="utf-8"?>
<ds:datastoreItem xmlns:ds="http://schemas.openxmlformats.org/officeDocument/2006/customXml" ds:itemID="{50CFB807-F0F7-48AB-8542-76BB5BF0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2</Pages>
  <Words>857</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subject/>
  <dc:creator>Mark MacGougan</dc:creator>
  <cp:keywords/>
  <dc:description/>
  <cp:lastModifiedBy>Ott, Kathleen</cp:lastModifiedBy>
  <cp:revision>4</cp:revision>
  <cp:lastPrinted>2018-09-20T18:06:00Z</cp:lastPrinted>
  <dcterms:created xsi:type="dcterms:W3CDTF">2025-05-27T18:24:00Z</dcterms:created>
  <dcterms:modified xsi:type="dcterms:W3CDTF">2025-05-27T18:24:00Z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2018-12-05T12:56:00.1010661Z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2018-12-05T12:56:00.1010661Z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